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AC.2012.0143 vom 28. Januar 2013</w:t>
      </w:r>
    </w:p>
    <w:p>
      <w:r>
        <w:t>VD Tribunal cantonal, 2013-01-28, FR</w:t>
      </w:r>
    </w:p>
    <w:p>
      <w:r>
        <w:rPr>
          <w:b/>
        </w:rPr>
        <w:t xml:space="preserve">Quelle: </w:t>
      </w:r>
      <w:r>
        <w:t>https://mcp.opencaselaw.ch/entscheid/vd_omni_AC.2012.0143</w:t>
      </w:r>
    </w:p>
    <w:p>
      <w:r>
        <w:t>FR: VD_OMNI AC.2012.0143 du 28 janvier 2013</w:t>
      </w:r>
    </w:p>
    <w:p>
      <w:r>
        <w:t>IT: VD_OMNI AC.2012.0143 del 28 gennaio 2013</w:t>
      </w:r>
    </w:p>
    <w:p>
      <w:pPr>
        <w:pStyle w:val="Heading2"/>
      </w:pPr>
      <w:r>
        <w:t>Regeste</w:t>
      </w:r>
    </w:p>
    <w:p>
      <w:r>
        <w:t>AMIR-MEIGE, EHRAT, SCHWENDI/Municipalité de Montilliez, DUTOIT | Rappel de la jurisprudence relative à la prise en compte des balcons dans le calcul de la surface bâtie, et application au cas d'espèce (consid. 2).</w:t>
      </w:r>
    </w:p>
    <w:p>
      <w:pPr>
        <w:pStyle w:val="Heading2"/>
      </w:pPr>
      <w:r>
        <w:t>Erwägungen</w:t>
      </w:r>
    </w:p>
    <w:p>
      <w:r>
        <w:rPr>
          <w:b/>
        </w:rPr>
        <w:t>E. 1</w:t>
      </w:r>
    </w:p>
    <w:p>
      <w:r>
        <w:t>Selon les recourants, les mouvements de terre nécessaires pour réaliser l’accès aux garages en sous-sol dépasseraient ce qui est permis. a) Aux termes de l’art. 47 RCATC, aucun aménagement extérieur ne pourra comporter de mouvements de terre supérieurs à 80 cm en-dessus ou en-dessous du terrain naturel (al. 1); un accès à une cave ou à un garage descendant à plus de 80 cm en dessous du sol naturel peut être admis (al. 2); le terrain final doit être en continuité avec celui des parcelles voisines (al. 3). b) Dans un premier moyen, les recourants soutiennent que la dérogation au sens de l’art. 47 al. 2 RCATC ne peut être accordée que pour une seule cave ou un seul garage. aa)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le but de la norme.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pour elle-même, mais doit au contraire être déduite des intentions du législateur qu’il s’agit d’établir à l’aide des méthodes d’interprétation habituelles (ATF 138 V 17 consid. 4.2 p. 20, 23 consid. 3.4.1 p. 28 , et les arrêts cités). bb ) L’accès aux trois garages est prévu sur la façade Ouest du bâtiment. Au niveau du sous-sol, cette façade serait dégagée et donnerait sur trois boxes séparés. Pour créer ceux-ci et la voie d’accès, il faudrait creuser le terrain naturel sur une hauteur de 3,5 m environ, sur une largeur de près de 10 m, afin de permettre la manœuvre des véhicules. cc) L’art 47 al.</w:t>
      </w:r>
    </w:p>
    <w:p>
      <w:r>
        <w:rPr>
          <w:b/>
        </w:rPr>
        <w:t>E. 2</w:t>
      </w:r>
    </w:p>
    <w:p>
      <w:r>
        <w:t>Pour les recourants, la surface bâtie autorisée serait trop importante. a) Dans la zone du village, la surface bâtie pour les bâtiments d’habitation, sans relation directe avec une exploitation agricole, mesurée conformément à l’art. 50 RCATC, ne peut dépasser 1/6 de la surface constructible de la parcelle (art. 10 al. 1 RCATC). Les recourants soulèvent plusieurs moyens en relation avec l’application de cette norme. b) Compte tenu d’une surface de 1'133 m2, la surface bâtie maximale est de 188,83 m2 (1'133 m2 : 6). Or, selon le formulaire du permis de construire, le bâtiment projeté comprendrait une surface bâtie de 198 m2 (ch. 62). Le constructeur se prévaut sur ce point de l’art. 97 al. 4 de la loi du 4 décembre 1985 sur l’aménagement du territoire et les constructions (LATC, RSV 700.11), aux termes duquel les bâtiments neufs ou rénovés atteignant des performances énergétiques sensiblement supérieures aux normes en vigueur bénéficient d’un bonus supplémentaire de 5% dans le calcul des coefficients d’occupation ou d’utilisation du sol. Selon l’art. 40d al. 2 du règlement du 19 septembre 1986 d’application de la LATC (RLATC, RSV 700.11.1), on entend par performances énergétiques sensiblement supérieures aux normes en vigueur au sens de l’art. 97 al. 4 LATC, un bâtiment certifié selon le standard Minergie R ou une autre norme équivalente reconnue par le service cantonal en charge de l’énergie. En l’occurrence, le constructeur a produit, avec la demande de permis de construire, la promesse d’attribution du certificat Minergie, octroyé le 25 janvier 2012 par l’Office romand de certification. L’octroi du bonus prévu par l’art. 97 al. 4 LATC est ainsi acquis pour la réalisation du projet (cf. arrêts AC.2012.0032 du 24 août 2012, consid. 3; AC.2009.0235 du 3 juin 2010, consid. 6b). Compte tenu de ce supplément, la surface bâtie maximale pouvait être portée à 198,27 m2. c) Dans un premier moyen d’ordre formel, les recourants font valoir que la demande de dérogation fondée sur l’art. 97 al. 4 LATC ne figurait pas dans le dossier de l’enquête publique. aa) La demande de permis indique les dérogations requises et les dispositions réglementaires sur lesquelles elles se fondent (art. 108 al. 1, troisième phrase, LATC).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(arrêts AC.2006.0316 du 14 novembre 2007, consid. 4; AC.2003.0100 du 22 avril 2004, consid. 2a, AC.2003.0104 du 2 mars 2004, consid. 7b, et les arrêts cités). Inversement, une éventuelle lacune du dossier n’est pas déterminante, lorsque la consultation des autres pièces a permis de la combler, ou que le vice a été réparé en cours de procédure (cf. arrêts AC.2006.0316 et AC.2003.0100, précités). bb) S’il est exact que le dossier de l’enquête publique ne mentionnait pas la dérogation fondée sur l’art. 97 al.</w:t>
      </w:r>
    </w:p>
    <w:p>
      <w:r>
        <w:rPr>
          <w:b/>
        </w:rPr>
        <w:t>E. 4</w:t>
      </w:r>
    </w:p>
    <w:p>
      <w:r>
        <w:t>Le recours doit ainsi être rejeté, et la décision attaquée confirmée. Les frais sont mis à la charge des recourants, ainsi que des dépens en faveur de la Commune et du constructeur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