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AC.2012.0121 vom 10. Februar 2014</w:t>
      </w:r>
    </w:p>
    <w:p>
      <w:r>
        <w:t>VD Tribunal cantonal, 2014-02-10, FR</w:t>
      </w:r>
    </w:p>
    <w:p>
      <w:r>
        <w:rPr>
          <w:b/>
        </w:rPr>
        <w:t xml:space="preserve">Quelle: </w:t>
      </w:r>
      <w:r>
        <w:t>https://mcp.opencaselaw.ch/entscheid/vd_omni_AC.2012.0121</w:t>
      </w:r>
    </w:p>
    <w:p>
      <w:r>
        <w:t>FR: VD_OMNI AC.2012.0121 du 10 février 2014</w:t>
      </w:r>
    </w:p>
    <w:p>
      <w:r>
        <w:t>IT: VD_OMNI AC.2012.0121 del 10 febbraio 2014</w:t>
      </w:r>
    </w:p>
    <w:p>
      <w:pPr>
        <w:pStyle w:val="Heading2"/>
      </w:pPr>
      <w:r>
        <w:t>Regeste</w:t>
      </w:r>
    </w:p>
    <w:p>
      <w:r>
        <w:t>BESSO, MEYER, KAUFMANN, MCLEISH, STEINER, REES, PENY, DUDLEY, GIRARDET /Municipalité de Féchy, SCHWARZ | Rappel des critères retenus par la jurisprudence pour distinguer les villas jumelles d'une villa à plusieurs logements. En l'espèce, l'autorité communale n'a pas violé son RPGA qui prohibe la construction de villas jumelles en autorisant la construction de deux villas comportant deux appartements superposés avec des locaux communs en sous-sol. Par ailleurs, il est conforme au RPGA de ne pas tenir compte de la surface des balcons dans la surface bâtie et la dimension des lucarnes et fenêtres est règlementaire. Griefs relatifs à l'accès prévu aux deux villas et aux nuisances de bruit également mal fondés. Recours rejeté. Recours au TF des opposants, rejeté par un arrêt du 10 février 2014 (1C_578/2013).</w:t>
      </w:r>
    </w:p>
    <w:p>
      <w:pPr>
        <w:pStyle w:val="Heading2"/>
      </w:pPr>
      <w:r>
        <w:t>Erwägungen</w:t>
      </w:r>
    </w:p>
    <w:p>
      <w:r>
        <w:rPr>
          <w:b/>
        </w:rPr>
        <w:t>E. 1</w:t>
      </w:r>
    </w:p>
    <w:p>
      <w:r>
        <w:t>La décision d’octroi du permis de construire, prise par la municipalité, et donc de rejet des oppositions, est une décision susceptible de recours au sens de l’art. 74 al. 1 de la loi du 28 octobre 2008 sur la procédure administrative (LPA-VD; RSV 173.36) par renvoi de l’art. 99 LPA-VD. La qualité pour agir, en l’espèce, est définie à l’art. 75 let. a LPA-VD (par renvoi de l’art. 99 LPA-VD) : le recours est recevable s’il est formé par une personne ayant pris part à la procédure devant l’autorité précédente, qui est atteinte par la décision attaquée et qui dispose d’un intérêt digne de protection à ce qu’elle soit annulée ou modifiée. Dans le domaine de l’aménagement du territoire et des autorisations de construire, le droit cantonal doit reconnaître la qualité pour recourir au moins dans les mêmes limites que pour le recours en matière de droit public devant le Tribunal fédéral (art. 33 al. 3 let. a de la loi fédérale du 22 juin 1979 sur l'aménagement du territoire [LAT; RS 700]). Cela signifie, en l’occurrence, que la qualité pour recourir selon l’art. 75 LPA-VD doit être définie au moins aussi largement qu’à l’art. 89 al. 1 de la loi du 17 juin 2005 sur le Tribunal fédéral (LTF; RS 173.110), s’agissant en particulier des critères de l’atteinte et de l’intérêt digne de protection. Dans ce cadre, le Tribunal fédéral a développé une jurisprudence au sujet de la qualité pour recourir du voisin (cf., en dernier lieu, ATF 137 II 30). Souvent, la nature ou le degré de l’atteinte dépend de la distance entre l’ouvrage projeté et le bien-fonds du voisin. Le critère de l’éloignement peut aussi entrer en considération pour déterminer si l’admission du recours peut procurer un avantage pratique au voisin, lui permettant d’invoquer un intérêt digne de protection. En l’espèce, les propriétés de plusieurs recourants sont directement voisines ou proches des deux parcelles du constructeur intimé. Il est ainsi évident que les voisins directs Laurent et Simone Besso, Stephen et Janine Rees, ainsi que Fernand Kaufmann, qui ont formé opposition durant l'enquête publique, ont qualité pour recourir. Il en va sans doute de même des autres opposants, mais cette question n'a pas à être examinée plus avant. En revanche, les r ecourants Michèle Kaufmann, Claude Peny et Frédy Girardet, qui n’ont pas formé opposition et n’ont ainsi pas pris part à la procédure devant l’autorité précédente, n’ont pas qualité pour recourir, vu l’exigence de l’art. 75 let. a LPA-VD (cf. notamment arrêt CDAP AC.2010.0019 du 12 novembre 2010). Le recours est donc partiellement irrecevable, dans cette mesure. L'acte de recours respecte les autres exigences légales de recevabilité. Il y a donc lieu d’entrer en matière.</w:t>
      </w:r>
    </w:p>
    <w:p>
      <w:r>
        <w:rPr>
          <w:b/>
        </w:rPr>
        <w:t>E. 1.4</w:t>
      </w:r>
    </w:p>
    <w:p>
      <w:r>
        <w:t>m de largeur), et non pas de simples fenêtres, elles répondent à la définition des lucarnes sur le plan architectural et elles n'ont pas pour effet d'augmenter sensiblement le volume des chambres à coucher des combles (cf. notamment à ce propos arrêt AC.2007.0154 du 9 septembre 2008 reproduit in RDAF 2009 I p. 37).</w:t>
      </w:r>
    </w:p>
    <w:p>
      <w:r>
        <w:rPr>
          <w:b/>
        </w:rPr>
        <w:t>E. 2</w:t>
      </w:r>
    </w:p>
    <w:p>
      <w:r>
        <w:t>la surface bâtie ne peut dépasser le 1/10 de la surface de la parcelle (surfaces cédées pour des accès publics comprises le cas échéant et surfaces de forêt exclues);</w:t>
      </w:r>
    </w:p>
    <w:p>
      <w:r>
        <w:rPr>
          <w:b/>
        </w:rPr>
        <w:t>E. 3</w:t>
      </w:r>
    </w:p>
    <w:p>
      <w:r>
        <w:t>la distance jusqu'en limite de propriété est de 3 mètres au minimum pour toutes les dépendances de peu d'importance ;</w:t>
      </w:r>
    </w:p>
    <w:p>
      <w:r>
        <w:rPr>
          <w:b/>
        </w:rPr>
        <w:t>E. 4</w:t>
      </w:r>
    </w:p>
    <w:p>
      <w:r>
        <w:t>les villas jumelles et les villas à plusieurs logements présentant les mêmes caractéristiques sont interdites ;</w:t>
      </w:r>
    </w:p>
    <w:p>
      <w:r>
        <w:rPr>
          <w:b/>
        </w:rPr>
        <w:t>E. 5</w:t>
      </w:r>
    </w:p>
    <w:p>
      <w:r>
        <w:t>Les recourants critiquent l'accès prévu aux deux villas et les nuisances qui résulteraient de l'utilisation de ces bâtiments. Il est évident que les nuisances de bruit des véhicules des habitants de quatre appartements, et de ceux de leurs visiteurs, dans un quartier résidentiel tranquille sans trafic de transit, ne provoqueront pas un dépassement des valeurs limites fixées par le droit fédéral de la protection de l'environnement (cf. art. 25 al. 1 de la loi fédérale du 7 octobre 1983 sur la protection de l'environnement [LPE; RS 814.01]; et art. 9 let. a de l'ordonnance du 15 décembre 1986 sur la protection contre le bruit [OPB; RS 814.41]). Il n'y a donc pas lieu de décrire plus avant les prescriptions applicables à ce propos. La voie d'accès aux garages longe la limite entre la propriété du constructeur intimé et celle des recourants Rees. Dans ces conditions, l'art. 39 du règlement du 19 septembre 1986 d'application de la LATC (RLATC; RSV 700.11.1), applicable aux "dépendances de peu d'importance et autres aménagements assimilés" pouvant être réalisés "dans les espaces réglementaires entre bâtiments et limites de propriété" (art. 39 al. 1 RLATC), exige que les constructions ou installations concernées "n'entraînent aucun préjudice pour les voisins" (art. 39 al. 4 RLATC). Or on ne voit pas quel préjudice les voisins directs subiraient, étant donné que les nuisances de bruit ne sont pas contraires au droit fédéral et que les autres inconvénients liés au passage journalier de quelques véhicules doivent être tolérés dans une zone résidentielle. Les recourants prétendent que la plantation d'une haie, le long de la limite nord des parcelles litigieuses, serait favorable aux voisins directs. Cela n'est pas contestable mais ce n'est pas une mesure pouvant être exigée sur la base du droit fédéral de la protection de l'environnement (cf. notamment art. 11 al. 2 LPE), car une haie ne limiterait pas sensiblement la propagation du bruit; cela ne saurait non plus être imposé comme une condition fondée sur l'art. 39 ch. 4 RLATC. Les griefs des recourants à ce propos doivent en conséquence être écartés.</w:t>
      </w:r>
    </w:p>
    <w:p>
      <w:r>
        <w:rPr>
          <w:b/>
        </w:rPr>
        <w:t>E. 6</w:t>
      </w:r>
    </w:p>
    <w:p>
      <w:r>
        <w:t>Les recourants ont exposé, dans leur mémoire de recours, qu'il appartiendrait à la Cour de céans, après le dépôt de la réponse de la municipalité, d'apprécier si une enquête publique complémentaire aurait dû être ordonnée avant l'octroi du permis de construire. Ils n'ont ensuite pas développé leur argumentation à ce propos, ni dans leur réplique ni lors de l'inspection locale. Or on ne voit pas en quoi le droit d'être entendu des recourants aurait été violé, compte tenu de la nature des modifications apportées au premier projet (pas d'augmentation du volume ni de la hauteur des constructions) et vu la présentation de ces modifications lors d'une séance officielle. Quoi qu'il en soit, les recourants ne présentent pas véritablement un grief à ce propos.</w:t>
      </w:r>
    </w:p>
    <w:p>
      <w:r>
        <w:rPr>
          <w:b/>
        </w:rPr>
        <w:t>E. 7</w:t>
      </w:r>
    </w:p>
    <w:p>
      <w:r>
        <w:t>Il résulte des considérants qui précèdent que le recours, en tous points mal fondés, doit être rejeté dans la mesure où il est recevable. Cela entraîne la confirmation de la décision attaquée. Conformément aux art. 49 et 55 LPA-VD et à l'art. 4 du tarif du 11 décembre 2007 des frais judiciaires en matière de droit administratif et public (TFJAP; RSV.173.36.5.1), un émolument de justice sera mis à la charge des recourants qui succombent. Ceux-ci devront en outre payer des dépens à l a commune et au constructeur intimés, qui ont tous deux procédé par l'intermédiaire d'un avocat et obtenu gain de cause. Etant donné que tous les recourants ont déposé le recours conjointement, ils sont tenus solidairement au paiement des frais et dépens – quand bien même deux recourants ont, après le dépôt de la réplique, mandaté un autre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