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AC.2012.0114 vom 26. Februar 2013</w:t>
      </w:r>
    </w:p>
    <w:p>
      <w:r>
        <w:t>VD Tribunal cantonal, 2013-02-26, FR</w:t>
      </w:r>
    </w:p>
    <w:p>
      <w:r>
        <w:rPr>
          <w:b/>
        </w:rPr>
        <w:t xml:space="preserve">Quelle: </w:t>
      </w:r>
      <w:r>
        <w:t>https://mcp.opencaselaw.ch/entscheid/vd_omni_AC.2012.0114</w:t>
      </w:r>
    </w:p>
    <w:p>
      <w:r>
        <w:t>FR: VD_OMNI AC.2012.0114 du 26 février 2013</w:t>
      </w:r>
    </w:p>
    <w:p>
      <w:r>
        <w:t>IT: VD_OMNI AC.2012.0114 del 26 febbraio 2013</w:t>
      </w:r>
    </w:p>
    <w:p>
      <w:pPr>
        <w:pStyle w:val="Heading2"/>
      </w:pPr>
      <w:r>
        <w:t>Regeste</w:t>
      </w:r>
    </w:p>
    <w:p>
      <w:r>
        <w:t>BOSCACCI, GOUMAZ, GLARDON, TARDIN, VUADENS/Municipalité de Lausanne, Service Immeubles, Patrimoine et Logistique, RIEBEN, PATRIMOINE SUISSE, BOISSARD | Compte tenu de la réserve que s'impose le Tribunal cantonal en la matière, il n'y a pas lieu de s'écarter de l'appréciation de la Municipalité, selon laquelle la création d'un bâtiment qui s'imbrique dans la partie conservée d'un bâtiment préexistant, est inesthétique.</w:t>
      </w:r>
    </w:p>
    <w:p>
      <w:pPr>
        <w:pStyle w:val="Heading2"/>
      </w:pPr>
      <w:r>
        <w:t>Erwägungen</w:t>
      </w:r>
    </w:p>
    <w:p>
      <w:r>
        <w:rPr>
          <w:b/>
        </w:rPr>
        <w:t>E. 1</w:t>
      </w:r>
    </w:p>
    <w:p>
      <w:r>
        <w:t>Francis Rieben met en doute la qualité pour agir des recourants, indépendamment de l’hoirie Ruckstuhl. a) A notamment qualité pour former recours toute personne physique et morale ayant pris part à la procédure devant l’autorité précédente (ou ayant été privée de le faire), qui est atteinte par la décision attaquée et dispose d’un intérêt digne de protection à ce qu’elle soit annulée ou modifiée (art. 75 al. 1 let. a de la loi du 28 octobre 2008 sur la procédure administrative – LPA-VD, RSV 173.36). b) Cette condition est remplie pour ce qui concerne les recourants, qui ont présenté la demande de permis de construire et sont les destinataires de la décision négative de la Municipalité. L’intérêt digne de protection des recourants découle de leur obligation, résultant de l’acte du 5 février 2010, d’obtenir un permis de construire un bâtiment sur la parcelle n°343. Pour le surplus, l’hoirie Ruckstuhl a signé les plans mis à l’enquête (cf. art. 108 al. 1 de la loi du 4 décembre 1985 sur l’aménagement du territoire et les constructions – LATC, RSV 700.11, et 73 al. 1 du règlement d’application de cette loi, du 19 septembre 1986 – RLATC, RSV 700.11.1). Il n’y a dès lors pas lieu de douter que sans agir aux côtés des recourants, la propriétaire de la parcelle n°343 fait cause commune avec eux, ce que l’audience du 25 janvier 2013 a confirmé.</w:t>
      </w:r>
    </w:p>
    <w:p>
      <w:r>
        <w:rPr>
          <w:b/>
        </w:rPr>
        <w:t>E. 2</w:t>
      </w:r>
    </w:p>
    <w:p>
      <w:r>
        <w:t>La décision attaquée est fondée en premier lieu sur le fait que le bâtiment n°9363 serait protégé. a) La loi du 10 décembre 1969 sur la protection de la nature, des monuments et des sites (LPNMS; RSV 450.11) vise, selon son art. 1, à ménager l’aspect caractéristique du paysage et des localités, les sites évocateurs du passé et les beautés naturelles (let. b), ainsi qu’à protéger et conserver les monuments de la préhistoire, de l’histoire, de l’art ou de l’architecture et les antiquités immobilières ou mobilières situés ou trouvés dans le canton (let. c). Selon l'art. 46 al. 1 LPNMS, tous les monuments de la préhistoire, de l'histoire, de l'art et de l'architecture et les antiquités immobilières et mobilières, trouvés dans le canton, qui présentent un intérêt archéologique, historique, artistique, scientifique ou éducatif sont protégés conformément à cette loi. La LPNMS prévoit deux types de mesures de protection: l'inventaire des monuments et des sites (art. 12 à 19 et 49 à 51 LPNMS) et le classement comme monument historique ou antiquité (art. 20 à 28 et 52 à 54 LPNMS). L’ar t. 30 al. 1 du règlement du 22 mars 1989 d'application de la LPNMS (RLPNMS; RSV 450.11.1) dispose que le département établit le recensement architectural des constructions en collaboration avec les communes concernées. Selon l'art. 31 RLPNMS, le recensement architectural – qui n’est pas prévu par la LPNMS - sert de base à l'inventaire prévu à l'art. 49 LPNMS, sans toutefois se confondre avec lui. Les bâtiments concernés reçoivent des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les notes attribuées ont un caractère indicatif et informatif; elles n'entraînent pas en soi de mesures de protection spéciale au sens des art. 16 et 17 LPNMS, relatifs aux objets à l'inventaire, ou des art. 23 et 54 LPNMS, relatifs aux objets classés (cf., en dernier lieu, les arrêts GE.2010.0157 du 15 mars 2011, consid. 1e; AC.2010.0191 du 22 février 2011, consid. 2b et 4b, et les arrêts cités). Un bâtiment ayant reçu une note supérieure à 1 ou 2 au recensement architectural peut dès lors être démoli (arrêt AC.2009.0001 du 26 février 2010, consid. 2b/cc). b) En l’occurrence, le bâtiment n°9363 a reçu la note 3 au recensement architectural, avec une mention spéciale (F) pour la charpente en béton. Sur cette base, l’autorité intimée a considéré que ce bâtiment mériterait d’être conservé; il pourrait être modifié à condition de ne pas en altérer les qualités qui ont justifié sa note. Ce constat, partagé par le SIPAL dans sa détermination du 13 juillet 2012, n’est pas conforme à la loi, en ce sens qu’il accorde à ce bâtiment une protection qui va au-delà de ce que le recensement architectural permet de faire, sur le vu de la jurisprudence qui vient d’être rappelée. La seule invocation de la LPNMS ne suffit pas à maintenir la décision attaquée.</w:t>
      </w:r>
    </w:p>
    <w:p>
      <w:r>
        <w:rPr>
          <w:b/>
        </w:rPr>
        <w:t>E. 3</w:t>
      </w:r>
    </w:p>
    <w:p>
      <w:r>
        <w:t>Il reste à examiner l’application par la Municipalité de la clause d’esthétique dont elle se prévaut.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Il faut alors que l'utilisation des possibilités de construire réglementaires apparaisse déraisonnable et irrationnelle (ATF 115 Ia 114; 114 Ia 345; 101 Ia 213 consid. 6c p. 223).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en dernier lieu, arrêts AC.2012.0046 du 29 août 2012, consid. 7; AC.2011.0143 du 23 décembre 2011, consid. 5, et les arrêts cités). b) A teneur de l’art. 69 RPGA, les constructions, transformations ou démolitions susceptibles de compromettre l’aspect et le caractère d’un quartier, d’un site, d’une place ou d’une rue, ou de nuire à l’aspect d’un édifice de valeur historique, culturel ou architectural sont interdites (al. 1); les constructions, quelle que soit leur destination, ainsi que les aménagements qui leur sont liés doivent présenter un aspect architectural satisfaisant et s’intégrer à l’environnement (al. 2). Selon l’art. 73 RPGA, la direction des travaux tient à disposition la liste des bâtiments, des objets, des sites et des ensembles figurant au recensement architectural, au recensement des jardins d’intérêt historique et au recensement des ensembles bâtis (al. 1); tous travaux les concernant font l’objet d’un préavis du délégué communal à la protection du patrimoine bâti précisant ses déterminations (al. 2); sur la base de ce préavis, la Municipalité peut imposer des restrictions au droit de bâtir et interdire les constructions, transformations ou démolitions (al. 3); elle peut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(al. 4). Les art. 69 et 73 RPGA concrétisent la clause d’esthétique de l’art. 86 LATC; leur portée ne va pas au-delà de celle de cette norme (arrêt AC.2008.0324 du 15 novembre 2010, consid. 9, et les références citées). c) La zone urbaine est affectée à l’habitation, au commerce, aux bureaux, à l’artisanat, aux constructions et installations publiques, ainsi qu’aux équipements destinés à la santé, à la culture, au sport, aux loisirs, au tourisme et au délassement (art. 95 RPGA). L’ordre contigu est obligatoire (art. 96 RPGA), sous réserve d’interruptions autorisées; dans ce cas, les espaces libres entre bâtiments ou entre bâtiments et limites de propriété sont d’au moins 12 m  (art. 100 RPGA). La longueur des murs mitoyens peut aller jusqu’à 16 m (art. 97 RPGA), la hauteur des façades jusqu’à 17,5 m (art. 101 RPGA). La mise à contribution des terrains n’est pas limitée par un indice d’utilisation du sol (cf. art. 17 RPGA). d) La Municipalité, se fondant sur l’art. 69 RPGA, souhaite conserver la typologie des îlots, qui est celle des bâtiments voisins de celui des recourants, soit ceux contigus à l’Est, et celui implanté sur la parcelle n°337, à l’Ouest. Il est douteux que la Municipalité puisse, au nom de l’esthétique, vouloir imposer une distribution des bâtiments qui ne résulte pas des normes régissant la zone urbaine. De même, il n’est pas sûr que l’exigence de préserver un «espace-rue», exprimée dans le préavis du 1 er novembre 2011 comme motif relevant de l’affectation, puisse être retenue au titre de l’esthétique. Cela n’a au demeurant pas échappé à l’autorité intimée. Lors de l’audience du 25 janvier 2013, ses représentants ont indiqué que si la Municipalité n’envisage pas, en l’état, d’adopter un plan spécial pour le secteur en question, une réflexion est en cours dans le cadre de la modification du plan directeur communal. e) Le projet vise à supprimer le pavillon du bâtiment n°9363 donnant au Nord, sur l’avenue de Morges, pour le remplacer par un élément de trois niveaux sur rez-de-chaussée, et qui serait implanté jusqu’à la limite de la parcelle n°343. La hauteur de cet élément serait à peu près équivalente à celui du bâtiment adjacent à l’Est, érigé sur la parcelle n°336. Ce choix, ainsi que celui de la toiture plate, est imposé par le respect de la servitude de vue dont bénéficie la parcelle n°336. Le deuxième pavillon du bâtiment n°9363, donnant au Sud, serait partiellement maintenu. La façade Sud actuelle serait conservée pour un niveau sur rez-de-chaussée. Le solde serait démoli. Le nouveau bâtiment projeté envelopperait la partie conservée par l’adjonction d’un corps de bâtiment du côté Ouest, accolé à celui existant, qui serait surélevé de quatre niveaux. Du côté Ouest, le nouveau bâtiment présenterait la particularité d’être encadré de deux corps implantés jusqu’à la limite de la parcelle. La partie centrale, correspondant à ce qui serait conservé du bâtiment n°9363, se trouverait en retrait, sur son emplacement actuel. Elle serait réhaussée de deux niveaux supplémentaires, correspondant aux lofts à créer. Les façades Ouest des deux corps de bâtiment avancés seraient borgnes et végétalisées. Ce choix s’explique par le fait que la façade des bâtiments implantés sur la parcelle n°337, donnant sur la parcelle n°336, se trouve à 9 m de la limite de celle-ci. La contiguïté, exigée par l’art. 96 RPGA, n’est dès lors pas réalisée. Du moins en l’état: en optant pour des façades borgnes, les constructeurs entendent ménager l’avenir. A défaut, le bâtiment à construire sur la parcelle n°336 devrait se tenir à une distance de 12 m de la limite de propriété, conformément à l’art. 100 al. 1 RPGA - soit en retrait du bâtiment actuel, qui se trouve à 9 m de cette limite. La Municipalité serait toutefois d’accord de maintenir la distance existante – pour autant que le bâtiment n°9363 soit conservé, selon des modalités acceptables pour elle. f) Du point de vue de l’esthétique, la Municipalité a rejeté le projet essentiellement pour deux motifs. Le premier a trait au traitement réservé à la partie du bâtiment n°9363 qui serait conservée. Ces éléments existants se trouveraient enchâssés dans la partie nouvelle du bâtiment, avec laquelle ils contrasteraient fortement. Cet effet est particulièrement net du côté de la façade Sud projetée, où la partie existante, conservée sur une hauteur de 6 m environ serait imbriquée dans un bâtiment d’une hauteur totale de 19 m. L’effet d’écrasement est indéniable. Le deuxième motif retenu par la Municipalité tient aux façades borgnes et végétalisées, qui encadreraient la façade Ouest. Les constructeurs entendent réserver la possibilité qu’un jour, les bâtiments existants sur la parcelle n°337 soient démolis et remplacés par de nouvelles constructions qui s’implanteraient en contiguïté. Outre le fait que cette perspective est éloignée, selon les déclarations faites par les constructeurs lors de l’audience du 25 janvier 2013, le résultat peut objectivement être tenu pour défavorable sous l’angle de l’esthétique, compte tenu de l’ampleur de la surface de ces façades. g) Eu égard à la réserve qu’il s’impose dans ce domaine, le Tribunal n’a pas de raisons de considérer que la Municipalité, en refusant d’accorder le permis de construire en application des art. 86 LATC et 69 RPGA, a abusé ou mésusé de son pouvoir d’appréciation, au sens de la jurisprudence qui vient d’être rappelée. Il reste aux constructeurs la faculté soit de remanier leur projet en conservant le bâtiment n°9363, selon des modalités qui conviendront à la Municipalité du point de vue de l’esthétique, soit de présenter un nouveau projet, comprenant la démolition du bâtiment n°9363. Les constructeurs ont laissé entendre, lors de l’audience du 25 janvier 2013, qu’un tel projet serait d’ores et déjà à l’étude.</w:t>
      </w:r>
    </w:p>
    <w:p>
      <w:r>
        <w:rPr>
          <w:b/>
        </w:rPr>
        <w:t>E. 4</w:t>
      </w:r>
    </w:p>
    <w:p>
      <w:r>
        <w:t>Le recours doit ainsi être rejeté et la décision attaquée, maintenue. Les frais sont mis à la charge des recourants, ainsi que des dépens en faveur de la Municipalité,  de Francis Rieben et des consorts Boissard, qui sont intervenus dans la procédure par l’entremise d’un mandataire (art. 49, 53,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