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AC.2012.0113 vom 13. Juli 2012</w:t>
      </w:r>
    </w:p>
    <w:p>
      <w:r>
        <w:t>VD Tribunal cantonal, 2012-07-13, FR</w:t>
      </w:r>
    </w:p>
    <w:p>
      <w:r>
        <w:rPr>
          <w:b/>
        </w:rPr>
        <w:t xml:space="preserve">Quelle: </w:t>
      </w:r>
      <w:r>
        <w:t>https://mcp.opencaselaw.ch/entscheid/vd_omni_AC.2012.0113</w:t>
      </w:r>
    </w:p>
    <w:p>
      <w:r>
        <w:t>FR: VD_OMNI AC.2012.0113 du 13 juillet 2012</w:t>
      </w:r>
    </w:p>
    <w:p>
      <w:r>
        <w:t>IT: VD_OMNI AC.2012.0113 del 13 luglio 2012</w:t>
      </w:r>
    </w:p>
    <w:p>
      <w:pPr>
        <w:pStyle w:val="Heading2"/>
      </w:pPr>
      <w:r>
        <w:t>Regeste</w:t>
      </w:r>
    </w:p>
    <w:p>
      <w:r>
        <w:t>BERGIER, GFELLER DE GRANDI, PRO RIVIERA/Municipalité de Vevey, Service Immeubles, Patrimoine et Logistique, Centre de Conservation de la Faune et de la Nature, Commission des rives du lac | Projet d'aménagement pour trois mois d'un "espace plage" au bas de la Grande Place à Vevey (sable avec transats et parasols, bancs, zones pétanque, charrets et échecs, cabanon de rangement, fontaine à eau et zone déchets). Enquête publique complémentaire pas nécessaire, le projet ayant été revu à la baisse (pas de buvette ni d'animation) (consid. 2). La distance minimale à la rive est respectée (consid. 3). Contrairement à une autorisation spéciale, un préavis négatif d'une autorité cantonale n'exerce pas d'effet contraignant pour la municipalité qui dispose d'une certaine marge d'appréciation et peut s'en écarter (consid. 4). Esthétique conforme (consid. 5). L'exigence, dans un permis de 1996, de compensation des arbres alors abattus concerne une procédure distincte et ne s'oppose pas au projet; en outre, la compensation ne doit pas être réalisée à l'endroit du projet (consid. 6). Absence de nuisances, le projet antérieur plus bruyant (comprenant une buvette) ayant été préavisé favorablement par le SEVEN (consid. 7). Recours rejeté.</w:t>
      </w:r>
    </w:p>
    <w:p>
      <w:pPr>
        <w:pStyle w:val="Heading2"/>
      </w:pPr>
      <w:r>
        <w:t>Erwägungen</w:t>
      </w:r>
    </w:p>
    <w:p>
      <w:r>
        <w:rPr>
          <w:b/>
        </w:rPr>
        <w:t>E. 1</w:t>
      </w:r>
    </w:p>
    <w:p>
      <w:r>
        <w:t>La qualité pour recourir des recourants est contestée. a) L’art. 75 let. a de la loi sur la procédure administrative du 28 octobre 2008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b) En l'occurrence, il paraît douteux que l'association Pro Riviera ait la qualité pour recourir, au vu de la jurisprudence relative à la qualité pour recourir des associations qui poursuivent un but localement limité (voir notamment AC.2009.0260 du 4 février 2010; AC.2007.0262 du 21 avril 2008 consid. 5). La qualité pour recourir des recourants Bergier et Gfeller de Grandi paraît également douteuse, dans la mesure où ils ne font pas valoir d'atteinte personnelle mais semblent au contraire agir dans l'intérêt général. La recourante Bergier n'habite d'ailleurs pas directement sur la Grande Place, de sorte qu'il n'apparaît pas qu'elle puisse se prévaloir d'un intérêt personnel digne de protection à contester le projet litigieux. Quant aux autres recourants, la recourante Gfeller de Grandi s'est limitée à se référer à des nuisances sonores en relation avec d'autres manifestations. S'agissant du projet lui-même, elle a indiqué ne pas être opposée à l'apport de sable à l'endroit litigieux dans le cadre d'une reconstitution du mail arborisé. Le tribunal a toutefois constaté sur place que les recourants Gfeller de Grandi habitent dans un logement qui donne directement sur la Grande Place, vers le bas de celle-ci. Ils ont ainsi une vue directe sur l'endroit à aménager et pourraient subir d'éventuelles nuisances liées au projet litigieux du fait de la proximité de leur logement. Leur qualité pour recourir pourrait être admise en conséquence. Cette question n'a toutefois pas besoin d'être tranchée, dès lors que le recours doit de toute manière être rejeté au fond.</w:t>
      </w:r>
    </w:p>
    <w:p>
      <w:r>
        <w:rPr>
          <w:b/>
        </w:rPr>
        <w:t>E. 2</w:t>
      </w:r>
    </w:p>
    <w:p>
      <w:r>
        <w:t>Les recourants contestent la procédure suivie; ils estiment que le nouveau projet aurait dû faire l'objet d'une nouvelle enquête publique. La municipalité conteste la nécessité de procéder selon la procédure du permis de construire; s'agissant de l'usage du domaine public, elle estime qu'il convient de procéder par l'octroi d'une concession. a) En droit vaudois, la procédure de mise à l'enquête est régie notamment par l'art. 109 al. 1 de la loi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(AC.2011.0146 du 5 juin 2012; AC.2010.0318 du 23 novembre 2011 consid. 6a et les références citées). Selon la jurisprudence,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(AC.2011.0146 et AC.2010.0318 précités).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Selon la jurisprudence,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(AC.2011.0146 précité et AC.2010.0318 précité consid. 6a et les références citées). b) En l'occurrence, la municipalité a, dans un premier temps, mis à l'enquête publique le projet d'aménager à titre temporaire une plage avec buvette. Après avoir retiré celui-ci, elle entend aujourd'hui procéder par le biais d'une concession du domaine public. Il paraît toutefois douteux que la municipalité puisse s'octroyer elle-même une concession dans un tel cas. Cette question peut toutefois souffrir de rester indécise. En effet, dès lors qu'une enquête publique a eu lieu, qui a en définitive donné lieu à une réduction du projet initial, il n'est pas nécessaire de procéder à une nouvelle mise à l'enquête. Les opposants ont d'ailleurs été informés de cette modification et ont bénéficié de la faculté de se déterminer à ce sujet dans le cadre de la présente procédure. Ce grief est, partant, rejeté.</w:t>
      </w:r>
    </w:p>
    <w:p>
      <w:r>
        <w:rPr>
          <w:b/>
        </w:rPr>
        <w:t>E. 3</w:t>
      </w:r>
    </w:p>
    <w:p>
      <w:r>
        <w:t>Dans les zones densément bâties, la largeur de l’espace réservé aux étendues d’eau peut être adaptée à la configuration des constructions pour autant que la protection contre les crues soit garantie.</w:t>
      </w:r>
    </w:p>
    <w:p>
      <w:r>
        <w:rPr>
          <w:b/>
        </w:rPr>
        <w:t>E. 4</w:t>
      </w:r>
    </w:p>
    <w:p>
      <w:r>
        <w:t>Les recourants paraissent contester le non-respect par l'autorité intimée du préavis négatif émis par le SDT, Commission des rives du lac (CRL). Un tel préavis ne constitue pas une décision et n'est ainsi pas susceptible de recours (AC.2006.0317 du 25 octobre 2007 et AC.2000.0141 du 21 novembre 2001; Benoît Bovay, Procédure administrative, Berne 2000, p. 148 et jurisprudence citée). Contrairement à une autorisation spéciale, il n'exerce pas d'effet contraignant pour l'autorité intimée qui dispose d'une certaine marge d'appréciation et peut ainsi s'en écarter (v. réponse du SDT du 5 juin 2012). Au demeurant, le préavis négatif de la CRL portait en l'espèce sur un projet différent, plus important, qui comportait, outre la plage en tant que telle, une buvette et un terrain de beach-volley-ball, alors que le projet litigieux consiste uniquement, on le rappelle, en une zone de sable et plantes d'agrément avec mise à disposition entre 11h00 et 21h00 de chaises longues et parasols, ainsi qu'une zone de jeux ("charret", échecs, jeu de boules) avec un cabanon de rangement, un espace déchets et une fontaine à eau; en particulier, il n'est prévu ni buvette ni terrain de sport. En outre, si la CRL a précisé émettre son préavis négatif dans l'attente d'un concept global de requalification de la place, sur la base du concept élaboré en 1996 ou sur la base d'un nouveau concept à élaborer, elle a toutefois indiqué être favorable au principe d'aménager une plage de manière saisonnière. Quand bien même le projet ne répondrait pas à un "objectif" général du Plan directeur cantonal des rives vaudoises du lac Léman, elle n'a toutefois pas considéré qu'il ne serait pas conforme à une mesure contraignante prévue par celui-ci. Au demeurant, ce plan directeur ne prévoit aucune mesure spécifique à Vevey et encore moins à sa Grande Place, où le cheminement riverain est existant. Ce grief doit, partant, être rejeté.</w:t>
      </w:r>
    </w:p>
    <w:p>
      <w:r>
        <w:rPr>
          <w:b/>
        </w:rPr>
        <w:t>E. 5</w:t>
      </w:r>
    </w:p>
    <w:p>
      <w:r>
        <w:t>Les recourants s'en prennent à l'esthétique du projet et contestent le non-respect par l'autorité intimée du préavis négatif du SIPAL. a) En ce qui concerne ce préavis et en particulier sa portée pour l'autorité intimée, il convient de se référer à ce qui a été exposé au considérant précédent. S'agissant de l'esthétique, l'art. 86 LATC prévoit ce qui suit: " 1 La municipalité veille à ce que les constructions, quelle que soit leur destination, ainsi que les aménagements qui leurs sont liés, présentent un aspect architectural satisfaisant et s'intègrent à l'environnement. 2 Elle refuse le permis pour les constructions et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L'art. 40 RC dispose ce qui suit: "Les constructions doivent, dans leur aspect extérieur, s'harmoniser avec les constructions existantes; elles ne doivent pas compromettre ou heurter l'aspect ou le caractère d'un site, d'un quartier ou d'une rue. Par "constructions" on entend les ouvrages désignés à l'art. 106 RPC et en outre les murs, clôtures, espaliers et autres ouvrages similaires édifiés à la limite ou à l'intérieur des propriétés. Des règlements spéciaux seront édictés pour protéger l'aspect et le caractère de certains quartiers".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TF 1C_57/2010 du 17 octobre 2011, consid. 3.1.2 relatif à une affaire sur la Commune de Lutry: GE.2009.0043 du 30 décembre 2010).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AC.2011.0065 du 27 janvier 2012 et les arrêts cités).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98 LPA-VD; TF 1C_450/2008 du 19 mars 2009; AC.2011.0065 précité et les arrêts cités; AC.2009.0043 précité).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(AC.2011.0065 précité et les arrêts cités). b) En l'espèce, l'autorité intimée a implicitement considéré que l'aménagement litigieux s'intégrait dans son environnement, à savoir la Grande Place - en majeure partie occupée par un parking - au nord, le lac Léman au sud, le château de l'Aile à l'ouest et différents bâtiments à l'est. Après visite des lieux, le tribunal considère que tel est bien le cas: le projet - de durée limitée à trois mois - consistant en une plage de sable du lac Léman agrémentée de chaises longues, parasols et plantes en pot et accompagnée d'un espace avec bancs dévolu à la pétanque ainsi que d'un cabanon de rangement, s'inscrit tout à fait dans le cadre de la rive du lac Léman déjà occupée par un service de location de pédalos, et ne contrastera pas de manière choquante avec la Grande Place occupée par un parking, ni avec les bâtiments adjacents, notamment le château de l'Aile; ce dernier porte certes la note *1* au recensement architectural. On ne voit toutefois pas en quoi l'aménagement litigieux, temporaire de surcroît, serait de nature à contraster avec un tel bâtiment qui se trouve par ailleurs actuellement en cours de rénovation, de sorte qu'il est actuellement entouré d'échafaudages. On ne voit au demeurant pas dans quelle mesure ces aménagements relativement modestes, sans la buvette ni les WC des années précédentes, seraient de nature à altérer, notamment, la perception sur le lac. La seule construction d'une certaine hauteur sera une remise à matériel de type cabanon de jardin, située en bordure de la place. Le tribunal considère ainsi que l'autorité intimée n'a pas abusé de son pouvoir d'appréciation ou excédé celui-ci en considérant que le projet litigieux est admissible sous l'angle de l'esthétique.</w:t>
      </w:r>
    </w:p>
    <w:p>
      <w:r>
        <w:rPr>
          <w:b/>
        </w:rPr>
        <w:t>E. 6</w:t>
      </w:r>
    </w:p>
    <w:p>
      <w:r>
        <w:t>Les recourants exigent la réarborisation du bas de la Grande Place (mail historique) pour remplacer les arbres abattus en 1996, qui devaient faire l'objet d'une compensation selon le permis de construire n° 5007 délivré le 17 décembre 1996. Ce permis de construire n'indique pas le nombre d'arbres à abattre et le tribunal ne peut que déplorer que le dossier transmis par la municipalité ne comporte aucun plan ni indication quant au nombre d'arbres à abattre ou quant à la restructuration envisagée en 1996. Quoi qu'il en soit, il ressort dudit permis que trois conditions ont été posées, dont deux concernent la compensation de deux arbres en particulier. Ces conditions ont été respectées. Il ressort certes du dossier que, lors de la levée des oppositions formées contre le projet de restructuration de l'arborisation de 1996, la municipalité a indiqué vouloir reconstituer le mail arborisé. La portée d'une telle déclaration, adressée au demeurant aux opposants à l'époque et non aux recourants dans la présente procédure, peut rester indécise, dès lors que le permis de construire précité de 1996 ne comporte aucun engagement exprès à ce sujet. Les recourants se réfèrent encore à une convention établie le 22 octobre 2008 entre la recourante Pro Riviera et l'autorité intimée portant sur la création d'une patinoire avec annexes, aux termes de laquelle " la Municipalité s'engage[ait] à faire figurer dans le cahier des charges du concours pour le réaménagement de la place, une réarborisation en compensation des arbres abattus pour l'édification de l'arène de la Fête des Vignerons 1999 ". Un tel engagement est toutefois à mettre en relation avec un autre aménagement et il est par conséquent étranger à la présente procédure. Il est par ailleurs douteux qu'un tel engagement soit susceptible de faire obstacle au projet de plage temporaire qui ne remet pas en question la réarborisation compensatoire que la municipalité a expliqué vouloir effectuer ailleurs. L'autorité intimée a ainsi expressément déclaré renoncer à une réarborisation à cet endroit tout en réitérant sa volonté de compenser les arbres abattus. Le SFFN a d'ailleurs confirmé en audience qu'une telle compensation ne devait pas impérativement être réalisée à l'endroit litigieux mais qu'elle pouvait être réalisée ailleurs sur le territoire communal. La municipalité a encore expliqué en audience les contraintes liées à la réorganisation globale de la Grande Place, notamment au vu du refus du Conseil communal quant à un projet de parking souterrain, et à l'existence d'un projet de parking vers la gare qui permettrait ensuite de délester la Grande Place. Or, ces considérations relèvent de l'autonomie communale et ne sauraient être revues par le tribunal dans la présente procédure ni faire obstacle au projet litigieux distinct et qui est au demeurant temporaire. Partant, ce grief doit être rejeté.</w:t>
      </w:r>
    </w:p>
    <w:p>
      <w:r>
        <w:rPr>
          <w:b/>
        </w:rPr>
        <w:t>E. 7</w:t>
      </w:r>
    </w:p>
    <w:p>
      <w:r>
        <w:t>Les recourants se plaignent également des nombreuses nuisances causées par les différentes manifestations organisées sur le bas de la Grande Place sans rapport avec l'aménagement litigieux, telles que la Fête de la Bière, comme ils l'ont indiqué en audience; à cette occasion, ils ont encore précisé ne pas être opposés à la présence de sable et de bancs à cet endroit, toutefois en relation avec la reconstruction du mail historique. Ce faisant, les recourants ne font pas valoir que le projet litigieux causerait des nuisances mais contestent celles engendrées par d'autres manifestations ainsi que l'absence de compensation des arbres abattus en 1996; or, force est de constater que ces objets sont étrangers à la présente procédure. Au demeurant, on ne voit pas dans quelle mesure la présence d'une plage avec du mobilier mis à disposition de 11h00 à 21h00 uniquement et sans exploitation commerciale (buvette) - contrairement aux années précédentes - causerait des nuisances en l'absence d'arbres alors qu'elle n'en engendrerait pas si des arbres étaient replantés à cet endroit. En outre, l'aménagement litigieux ne sera pas accompagné de diffusion de musique (v. préavis du SEVEN reporté dans la synthèse CAMAC n° 126025 du 24 janvier 2012). Enfin, le SEVEN, autorité cantonale spécialisée, a préavisé favorablement au projet antérieur, plus important et plus bruyant (notamment en raison de la présence d'une buvette), également sous l'angle de la protection contre le bruit et les recourants n'apportent aucun élément susceptible de remettre en cause cette appréciation. Par conséquent, ce grief doit également être rejeté.</w:t>
      </w:r>
    </w:p>
    <w:p>
      <w:r>
        <w:rPr>
          <w:b/>
        </w:rPr>
        <w:t>E. 8</w:t>
      </w:r>
    </w:p>
    <w:p>
      <w:r>
        <w:t>Il résulte de ce qui précède que le recours doit être rejeté dans la mesure où il est recevable, et la décision attaquée confirmée. Succombant, les recourants supportent les frais de justice et des dépens en faveur de l'autorité intimée (art. 49, 55, 91 et 99 LPA-VD). Il n'est pas alloué de dépens à l'Etat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