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AC.2012.0083 vom 27. November 2012</w:t>
      </w:r>
    </w:p>
    <w:p>
      <w:r>
        <w:t>VD Tribunal cantonal, 2012-11-27, FR</w:t>
      </w:r>
    </w:p>
    <w:p>
      <w:r>
        <w:rPr>
          <w:b/>
        </w:rPr>
        <w:t xml:space="preserve">Quelle: </w:t>
      </w:r>
      <w:r>
        <w:t>https://mcp.opencaselaw.ch/entscheid/vd_omni_AC.2012.0083</w:t>
      </w:r>
    </w:p>
    <w:p>
      <w:r>
        <w:t>FR: VD_OMNI AC.2012.0083 du 27 novembre 2012</w:t>
      </w:r>
    </w:p>
    <w:p>
      <w:r>
        <w:t>IT: VD_OMNI AC.2012.0083 del 27 novembre 2012</w:t>
      </w:r>
    </w:p>
    <w:p>
      <w:pPr>
        <w:pStyle w:val="Heading2"/>
      </w:pPr>
      <w:r>
        <w:t>Regeste</w:t>
      </w:r>
    </w:p>
    <w:p>
      <w:r>
        <w:t>IMHOF, REY/Municipalité d'Oron, CIMMECO SA | Interprétation d'une disposition communale sur les ouvertures en toiture. L'autorité intimée interprète son règlement en ce sens que seule la largeur des lucarnes est additionnée pour déterminer si le tiers de la façade du bâtiment est dépassé ou non et qu'un même toit peut comporter différents types d'ouvertures. Le texte est certes ambigu, mais l'autorité a fait le choix d'une interprétation tout à fait soutenable et qu'elle applique de manière constante depuis plusieurs années. Cette interprétation doit être confirmée.</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les recourants sont voisins directs de la parcelle sur laquelle doit prendre place le projet litigieux. Il est donc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w:t>
      </w:r>
    </w:p>
    <w:p>
      <w:r>
        <w:rPr>
          <w:b/>
        </w:rPr>
        <w:t>E. 2</w:t>
      </w:r>
    </w:p>
    <w:p>
      <w:r>
        <w:t>La Commune d'Oron, issue de la fusion des Communes de Bussigny-sur-Oron, Châtillens, Chesalles-sur-Oron, Ecoteaux, Oron-la-Ville, Oron-le-Châtel, Palézieux, Les Tavernes, Les Thioleyres et Vuibroye, est née le 1er janvier 2012. L'harmonisation des règlements de construction des dix communes constituant celle d'Oron nécessite la création d'un plan général d'affectation (PGA) unique. Sa réalisation va durer plusieurs années, durant lesquelles les plans respectifs des dix anciens territoires, ainsi que leurs règlements restent applicables. C’est ainsi le RPE qui est applicable en l’espèce.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Il résulte des considérants qui précèdent que le recours doit être rejeté et la décision attaquée confirmée. Au vu de ce résultat, les frais de justice sont mis à la charge des recourants déboutés (art. 49 al. 1, 91 et 99 LPA-VD). L’autorité intimée a en outre droit à des dépens, à la charge des recourants,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