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AC.2012.0068 vom 25. Juni 2012</w:t>
      </w:r>
    </w:p>
    <w:p>
      <w:r>
        <w:t>VD Tribunal cantonal, 2012-06-25, FR</w:t>
      </w:r>
    </w:p>
    <w:p>
      <w:r>
        <w:rPr>
          <w:b/>
        </w:rPr>
        <w:t xml:space="preserve">Quelle: </w:t>
      </w:r>
      <w:r>
        <w:t>https://mcp.opencaselaw.ch/entscheid/vd_omni_AC.2012.0068</w:t>
      </w:r>
    </w:p>
    <w:p>
      <w:r>
        <w:t>FR: VD_OMNI AC.2012.0068 du 25 juin 2012</w:t>
      </w:r>
    </w:p>
    <w:p>
      <w:r>
        <w:t>IT: VD_OMNI AC.2012.0068 del 25 giugno 2012</w:t>
      </w:r>
    </w:p>
    <w:p>
      <w:pPr>
        <w:pStyle w:val="Heading2"/>
      </w:pPr>
      <w:r>
        <w:t>Regeste</w:t>
      </w:r>
    </w:p>
    <w:p>
      <w:r>
        <w:t>EMERY/Municipalité de Bourg-en-Lavaux, JANSSEN | N'a pas qualité pour agir le recourant domicilié à 630 m environ de la parcelle sur laquelle doit être construit un couvert de jardin avec sanitaires et barbecue. Le recourant n'allègue pas être touché par des immissions ou inconvénients (fumées, odeurs) présentant un certain degré d'évidence. Sur le fond, le recours devrait de toute manière être rejeté, le projet apparaissant réglementaire. Recours irrecevable. Recours au Tribunal fédéral irrecevable faute de motivation (1C_362/2012 du 28 août 2012).</w:t>
      </w:r>
    </w:p>
    <w:p>
      <w:pPr>
        <w:pStyle w:val="Heading2"/>
      </w:pPr>
      <w:r>
        <w:t>Erwägungen</w:t>
      </w:r>
    </w:p>
    <w:p>
      <w:r>
        <w:rPr>
          <w:b/>
        </w:rPr>
        <w:t>E. 1</w:t>
      </w:r>
    </w:p>
    <w:p>
      <w:r>
        <w:t>Il convient d'examiner la recevabilité du recours.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145 consid. 1b p. 147, 112 Ib 170 consid. 5b p. 173/174, 270 consid. 2c p. 272/273)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(arrêts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p. 228/229).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du 27 décembre 2006; 1A.47/2002 du 16 avril 2002). b) En l'espèce, le recourant est domicilié à la Route du Signal 15 à Grandvaux (actuellement Bourg-en-Lavaux), à une distance de 630 m environ du projet litigieux et son habitation est séparée de celui-ci par de nombreuses constructions, dans un secteur largement bâti. Au vu de la jurisprudence précitée, la proximité géographique permettant de fonder sa qualité pour recourir n'est ainsi pas réalisée. En outre, on ne saurait considérer qu'il serait touché par des immissions ou des inconvénients présentant un certain degré d'évidence. En effet, on ne voit pas quelles nuisances de cette importance pourrait créer un couvert de jardin avec barbecue et sanitaires pour un recourant domicilié à pareille distance de l'installation en cause. Ainsi, il n'apparaît pas que le recourant serait fortement incommodé par les fumées du barbecue ou les immissions sonores liées à son utilisation - ce qu'il n'allègue au demeurant pas - ni que le projet litigieux entraînerait une augmentation du trafic, notamment. En conclusion, le recourant n'est pas touché plus que quiconque par le projet litigieux et sa qualité pour recourir doit dès lors être déniée. Le recours est partant irrecevable. c) Quoi qu'il en soit, même si la qualité pour agir du recourant avait été admise et à supposer que les griefs confus du recourant répondent aux exigences de motivation découlant de l'art. 79 al. 1 LPA-VD, le recours aurait de toute manière dû être rejeté. Au vu du dossier, le projet litigieux apparaît réglementaire notamment sous l'angle de la distance à la limite de propriété voisine à respecter (art. 9 RPGA). En effet, les propriétaires voisins concernés ont donné leur accord à la réduction de cette distance conformément à l'art. 27 RPGA, selon lequel " moyennant entente entre voisins, la distance réglementaire entre bâtiment et limite de propriété peut être réduite sur l'un des biens-fonds à condition qu'il n'en résulte aucune diminution de la distance réglementaire entre les constructions présentes et futures sur chacune des propriétés intéressées ".</w:t>
      </w:r>
    </w:p>
    <w:p>
      <w:r>
        <w:rPr>
          <w:b/>
        </w:rPr>
        <w:t>E. 2</w:t>
      </w:r>
    </w:p>
    <w:p>
      <w:r>
        <w:t>Il résulte de ce qui précède que le recours doit être déclaré irrecevable et la décision attaquée, confirmée. Succombant, le recourant supportera les frais de justice ainsi que des dépens en faveur de l'autorité intimée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