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AC.2012.0059 vom 10. September 2012</w:t>
      </w:r>
    </w:p>
    <w:p>
      <w:r>
        <w:t>VD Tribunal cantonal, 2012-09-10, FR</w:t>
      </w:r>
    </w:p>
    <w:p>
      <w:r>
        <w:rPr>
          <w:b/>
        </w:rPr>
        <w:t xml:space="preserve">Quelle: </w:t>
      </w:r>
      <w:r>
        <w:t>https://mcp.opencaselaw.ch/entscheid/vd_omni_AC.2012.0059</w:t>
      </w:r>
    </w:p>
    <w:p>
      <w:r>
        <w:t>FR: VD_OMNI AC.2012.0059 du 10 septembre 2012</w:t>
      </w:r>
    </w:p>
    <w:p>
      <w:r>
        <w:t>IT: VD_OMNI AC.2012.0059 del 10 settembre 2012</w:t>
      </w:r>
    </w:p>
    <w:p>
      <w:pPr>
        <w:pStyle w:val="Heading2"/>
      </w:pPr>
      <w:r>
        <w:t>Regeste</w:t>
      </w:r>
    </w:p>
    <w:p>
      <w:r>
        <w:t>DELEVAUX/Service des forêts, de la faune et de la nature (SFFN) | Le montant des frais consécutifs à la pollution d'une rivière par du purin et réclamé au recourant couvre les coûts d'intervention et de repeuplement du cours d'eau, ainsi que la perte de rendement, soit les différents postes du dommage. Recours rejeté. Recours au Tribunal fédéral rejeté (1C_512/2012 du 25 septembre 2013).</w:t>
      </w:r>
    </w:p>
    <w:p>
      <w:pPr>
        <w:pStyle w:val="Heading2"/>
      </w:pPr>
      <w:r>
        <w:t>Erwägungen</w:t>
      </w:r>
    </w:p>
    <w:p>
      <w:r>
        <w:rPr>
          <w:b/>
        </w:rPr>
        <w:t>E. 1</w:t>
      </w:r>
    </w:p>
    <w:p>
      <w:r>
        <w:t>a) Tel qu'il est garanti par l'art. 29 al. 2 de la Constitution fédérale de la Confédération suisse du 18 avril 1999 (Cst.; RS 101), le droit d'être entendu comprend notamment le droit pour l'intéressé d'obtenir qu'il soit donné suite à ses offres de preuves pertinentes (ATF 133 I 270 consid. 3.1 p. 277; 127 III 576 consid. 2c p. 578).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en toute connaissance de cause et ne voit pas quels nouveaux éléments utiles à l'affaire, qui n'auraient pu être exposés par écrit, pourraient encore apporter les témoignages sollicités par le recourant. Il n'y a dès lors pas lieu de donner suite au complément d’instruction requis tendant à la fixation d'une audience.</w:t>
      </w:r>
    </w:p>
    <w:p>
      <w:r>
        <w:rPr>
          <w:b/>
        </w:rPr>
        <w:t>E. 2</w:t>
      </w:r>
    </w:p>
    <w:p>
      <w:r>
        <w:t>a) En se fondant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(Elisabeth Bétrix, Les coûts d'intervention, difficultés de mise en oeuvre, Droit de l'environnement dans la pratique [ DEP ] 1995, p. 370 ss; voir aussi arr¿s GE.2007.0120 du 22 février 2008 consid. 2a; GE.2000.0024 du 8 juin 2000 consid. 2c). b) Les art. 2 de la loi fédérale du</w:t>
      </w:r>
    </w:p>
    <w:p>
      <w:r>
        <w:rPr>
          <w:b/>
        </w:rPr>
        <w:t>E. 7</w:t>
      </w:r>
    </w:p>
    <w:p>
      <w:r>
        <w:t>Il résulte des considérants qui précèdent que le recours doit être rejeté et la décision attaquée confirmée. Un émolument de justice est mis à la charge du recourant, qui n'a pas droit à des dépens (art. 49, 55, 91 et 99 de la loi vaudoise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