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AC.2012.0032 vom 24. August 2012</w:t>
      </w:r>
    </w:p>
    <w:p>
      <w:r>
        <w:t>VD Tribunal cantonal, 2012-08-24, FR</w:t>
      </w:r>
    </w:p>
    <w:p>
      <w:r>
        <w:rPr>
          <w:b/>
        </w:rPr>
        <w:t xml:space="preserve">Quelle: </w:t>
      </w:r>
      <w:r>
        <w:t>https://mcp.opencaselaw.ch/entscheid/vd_omni_AC.2012.0032</w:t>
      </w:r>
    </w:p>
    <w:p>
      <w:r>
        <w:t>FR: VD_OMNI AC.2012.0032 du 24 août 2012</w:t>
      </w:r>
    </w:p>
    <w:p>
      <w:r>
        <w:t>IT: VD_OMNI AC.2012.0032 del 24 agosto 2012</w:t>
      </w:r>
    </w:p>
    <w:p>
      <w:pPr>
        <w:pStyle w:val="Heading2"/>
      </w:pPr>
      <w:r>
        <w:t>Regeste</w:t>
      </w:r>
    </w:p>
    <w:p>
      <w:r>
        <w:t>BAHAA-EL-DI, OLIVIER, RAVAL, HERRERO/Municipalité de Bursins, HAENNI | Refus d'un permis de construire pour un bâtiment. Pas d'inégalité de traitement dès lors que les exemples de permis mentionnés par les constructeurs concernent soit des constructions dans un secteur différent de la Commune soit des constructions qui ne présentent pas les mêmes caractéristiques architecturales.</w:t>
      </w:r>
    </w:p>
    <w:p>
      <w:pPr>
        <w:pStyle w:val="Heading2"/>
      </w:pPr>
      <w:r>
        <w:t>Erwägungen</w:t>
      </w:r>
    </w:p>
    <w:p>
      <w:r>
        <w:rPr>
          <w:b/>
        </w:rPr>
        <w:t>E. 1</w:t>
      </w:r>
    </w:p>
    <w:p>
      <w:r>
        <w:t>A l’appui de sa décision de refus du permis de construire, la municipalité invoque tout d’abord un défaut d’intégration du projet à l’environnement bâti en raison de l’implantation du bâtiment et de la forme de sa toiture et des balcons-coursives. Les recourants contestent ce motif en relevant que le projet est réglementaire, que l’environnement bâti comprend des constructions récentes dont certaines présentent un volume important, qu’un effort significatif d’intégration au paysage et aux constructions environnantes a été fait, que le volume du bâtiment est ainsi comparable à celui des constructions environnantes - ce qui aurait été confirmé par la CCUA -, que de nombreux bâtiments à Bursins – anciens et récents – comportent des balcons, que la valeur de certains des bâtiments anciens environnants doit être relativisée dès lors qu’ils ont reçu la note 4 au recensement architectural et que, examiné à l’aune de l’Ordonnance du 9 septembre 1981 concernant l’Inventaire fédéral des sites construits à protéger en Suisse (OISOS ; RS 451.12), l’impact de la construction projetée est mineur. En outre, des problèmes d’esthétique et d’intégration n’auraient jamais été mentionnés par l’autorité communale lors des discussions relatives au projet, la municipalité ayant au surplus expressément donné son accord au projet mis à l’enquête publique complémentaire. a) L’art. 86 de la loi du 4 décembre 1985 sur l’aménagement du territoire et les constructions (LATC ; RSV 700.11) a la teneur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Selon la jurisprudence, il incombe au premier chef aux autorités communales de veiller à l'aspect architectural des constructions; elles disposent à cet égard d'un large pouvoir d'appréciation (ATF 115 Ia 114 consid. 3d, 363 consid. 3b ; AC.2010.077 du 18 janvier 2012 consid 2b/bb). Dans ce cadre, l'autorité doit prendre garde à ce que la clause d'esthétique ne vide pas pratiquement de sa substance la réglementation de la zone en vigueur (ATF 115 Ia 114; 114 Ia 345; AC.2010.077 précité consid. 2b/bb et les références).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AC.2010.077 consid 2b/bb et les références). Il faut alors que l'utilisation des possibilités de construire réglementaires apparaisse déraisonnable et irrationnelle (ATF 115 Ia 114; 114 Ia 345; 101 Ia 213 consid, 6c; AC.2010.077 consid 2b/bb et les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 RSV 173.36] ; cf. AC.2010.077 consid 2b/bb ;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AC.2010.077 précité ; AC.2008.0258 du 19 août 2009, AC.2008.0165 du 26 janvier 2009, AC.2008.0206 précité et les références citées). b) aa) Bursins est inscrit en tant que village d’importance nationale à l’inventaire fédéral des sites construits d’importance nationale en Suisse (cf. annexe de l’OISOS), établi sur la base de l’art. 5 de la  loi fédérale du 1er juillet 1966 sur la protection de la nature et du paysage (LPN; RS 451), disposition qui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(ATF 1C_188/2007 du 1er avril 2009, in DEP 2009 p.509).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Cette répartition des compétences découle directement de la disposition constitutionnelle relative à la protection de la nature et du patrimoine (art. 78 Cst. [cf. ATF 1A.142/2004 du 10 décembre 2004, in RDAF 2006. 629]). bb) En droit vaudois, la LATC attribue aux communes la compétence d'adopter des zones à protéger au sens de l'art. 17 al. 1 de la loi fédérale du 22 juin 1979 sur l’aménagement du territoire (LAT ; RS 700) en prévoyant à son art. 47 al. 2 ch. 2 que les plans d'affectation peuvent contenir des dispositions relatives notamment aux paysages, aux sites, aux rives de lacs et de cours d'eau, aux localités et aux ensembles ou aux bâtiments méritant protection. En l'occurrence , l’art. 12 RC, relatif à l’esthétique des constructions dans la zone village, prévoit ce qui suit : " Les transformations et constructions nouvelles s’harmoniseront aux constructions existantes, en respectant la typologie et l’architecture traditionnelle du village. " c) On constate que la forme de la construction prévue est étroite avec une hauteur importante par rapport aux constructions environnantes (le faîte du futur bâtiment dominerait d’environ 3 m celui de la villa sise sur la parcelle voisine). On se trouve ainsi en présence d’un bâtiment « hors échelle » par rapport au bâti environnant. Le bâtiment projeté se caractérise aussi par le fait que sa toiture sera perpendiculaire à la Grand-Rue et au chemin des Jardins alors que les faîtes des autres bâtiments bordant ces deux rues sont parallèles à la rue. En outre, d’importants balcons baignoires sont prévus sur les façades sud et ouest du bâtiment alors que les bâtiments des environs se caractérisent plutôt par des façades assez sobres. La CCUA a ainsi souligné que la plupart des bâtiments existants ne disposent pas de balcons. Enfin, les décrochements en hauteur prévus sur les côtés du toit s’avèrent assez inesthétiques et mal intégrés dans l’environnement bâti. Dans son rapport, la CCUA souligne à cet égard que la forme de la toiture est incongrue et sans aucune référence dans le secteur. Vu ce qui précède, force est de constater que, sous plusieurs aspects, le projet ne respecte pas la typologie et l’architecture traditionnelle du village et ne s’harmonise pas aux constructions existantes, ne respectant ainsi pas les exigences posées à l’art. 12 RC en matière d’esthétique et d’intégration des constructions dans la zone village. Cette conclusion est confirmée par l’analyse faite par la CCUA qui mentionne dans son rapport que, par son implantation proche du front arrière du tissu bâti traditionnel, le bâtiment projeté viendrait perturber encore d’avantage l’agencement historique que constitue l’ensemble constitué par les bâtiments anciens situés le long de la Grand-Rue avec leurs jardins à l’arrière. La CCUA relève ainsi que le projet est inadapté au contexte bâti dans lequel il s’insert, la typologie et le caractère de l’architecture du village n’étant pas respectés. On précisera encore qu’il convient d’être particulièrement attentif à la question de l’esthétique et de l’intégration puisque, quand bien même la parcelle est constructible selon le plan d’affectation communal, le projet est prévu dans un secteur (jardins et vergers bordant l’ouest du site) qui, selon la fiche ISOS, devrait normalement être protégé de toute construction nouvelle. d) On déduit de ce qui précède qu’il existe un intérêt public prépondérant justifiant de ne pas autoriser le projet, quand bien même ce dernier est réglementaire s’agissant de ses dimensions. Partant, c’est à juste titre que la municipalité a refusé de délivrer le permis de construire pour des motifs liés à l’esthétique et à l’intégration. 2.                A l’appui de sa décision de refus du permis de construire, la municipalité invoque également le fait que l’accès prévu par le chemin des Jardins ne serait pas suffisant. a) S 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 ATF 1C 36/2010 du 18 février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Les autorités communales et cantonales disposent en ce domaine d'un important pouvoir d'appréciation ( ATF 121 I 65 consid. 3a in fine p. 68; 96 I 369 consid. 4 p. 373). Selon la jurisprudence du Tribunal administratif et de la Cour de droit  administratif et public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AC.2010.0333 du 2 novembre 2011 consid. 4a et les références). La question de savoir si, malgré son étroitesse, un accès est admissible dépend notamment du nombre de logements desservis et de la configuration des lieux. Pour apprécier si un accès est suffisant, la jurisprudence du Tribunal se réfère en général aux normes de l'Union des professionnels suisses de la route (normes VSS) qui sont prises en considération comme un avis d’expert (cf. AC.2010.0333 précité consid. 4a ; AC.2006.0265 du 28 septembre 2007 consid. 2a, résumé in RDAF 2008 p. 241et les références), étant précisé que ces normes doivent être appliquées en fonction des circonstances concrètes et en accord avec les principes généraux du droit, dont celui de la proportionnalité (ATF 1P_157/2008 du 10 juillet 2008 consid. 2.1; ATF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 18 ss ad art. 19; Zen-Ruffinen/Guy-Ecabert, Aménagement du territoire, construction expropriation, 2001, n. 700 ss, p. 324-328; Waldmann/Hänni, Raumplanungsgesetz, 2006, n. 21 ad art. 19). La norme VSS 640 045 distingue notamment deux types de routes et dessertes : - les routes d’accès, destinées à desservir des zones habitées jusqu’à 150 unités de logement ce qui implique un trafic horaire de maximum 150 véhicules par heure (vh/h). Ces routes doivent être pourvues de places de rebroussement (pour les routes sans issue) et doivent permettre le croisement de deux voitures de tourisme à vitesse réduite. - les chemins d’accès, dont la longueur devrait être limitée entre 40 et 80 m, devant desservir de petites zones habitées jusqu’à 30 unités de logement ce qui implique un trafic horaire de 50 vh/h. Ces chemins ne nécessitent pas de places de rebroussement mais doivent permettre le croisement d’une voiture de tourisme avec un cycle à vitesse très réduite. Ils sont assimilés à des chemins piétonniers prévus pour être occasionnellement parcourus par des véhicules à moteurs. Dans cette mesure, pour les rares cas de croisement/dépassement entre des véhicules à moteur, on peut utiliser les accotements et les autres espaces libres. b) En l’occurrence, compte tenu du nombre de logements desservis, on se trouve en présence d’un chemin d’accès au sens de la norme précitée. La vision locale a permis de constater que le chemin des Jardins est très étroit, le croisement d’une voiture de tourisme avec un cycle à vitesse très réduite devant toutefois être possible. Pour le surplus, le chemin des Jardins est une route rectiligne et plate qui ne pose pas de problème de visibilité. Selon les explications fournies à l’audience par les opposants habitant le quartier, cet accès fonctionne actuellement sans problème particulier. Il n’y a dès lors pas de raison que l’accès ne fonctionne plus en raison des seuls mouvements de véhicules liés à trois logements supplémentaires. Partant, interdire le projet au motif que l’accès ne serait pas suffisant n’est pas admissible au regard du principe de la proportionnalité. 3.                Comme dernier motif de refus du permis de construire, la municipalité invoque un dépassement du CUS. Les recourants relèvent pour leur part que la surface brute de plancher est de 359 m</w:t>
      </w:r>
    </w:p>
    <w:p>
      <w:r>
        <w:rPr>
          <w:b/>
        </w:rPr>
        <w:t>E. 2</w:t>
      </w:r>
    </w:p>
    <w:p>
      <w:r>
        <w:t>, ce qui permet de respecter le CUS de 0,5 prévu par l’art. 8 RC. Ils invoquent en outre l’art. 97 ch. 4 LATC. Il résulte des plans d’enquête que la surface brute de plancher est de 362 m2. La surface brute maximale de plancher de 359 m2  (compte tenu d’un CUS de 0,5 prévu par l’art. 8 RC) n’est par conséquent pas respectée, ce d’autant plus qu’on peut se demander s’il ne faudrait pas ajouter les surfaces des locaux mentionnés comme « buanderie » sur les plans d’enquête, qui apparaissent plutôt comme des locaux de travail, chauffés et éclairés. Il convient encore d’examiner si, s’agissant du CUS, les recourants peuvent bénéficier de l’art. 97 ch. 4 LATC. Selon cette disposition, les bâtiments neufs ou rénovés atteignant des performances énergétiques sensiblement supérieures aux normes en vigueur bénéficient d’un bonus supplémentaire de 5% dans le calcul des coefficients d’occupation ou d’utilisation du sol. Selon l’art. 40d al. 2 du règlement du 19 septembre 1986 d’application de la LATC (RLATC ; RSV 700.11.1), on entend par performances énergétiques sensiblement supérieures aux normes en vigueur au sens de l’art. 97 al. 4 LATC, un bâtiment certifié selon le standard Minergie R ou une autre norme équivalente reconnue par le service cantonal en charge de l’énergie. En l’état, les constructeurs ne peuvent pas revendiquer l’application de cette disposition puisqu’ils n’ont, selon les explications fournies à l’audience, effectué aucune démarche auprès de l’Office romand de certification Minergie à Fribourg et n’ont par conséquent pas obtenu de cet office le certificat provisoire normalement requis pour pouvoir bénéficier de l’art. 97 ch. 4 LATC. 4.                Les recourants relèvent que, après un premier refus, le projet a été remanié en étroite collaboration avec la Commune, qui a elle-même exigé certaines modifications qui leur sont aujourd’hui reprochées. Ils relèvent en outre que, à différents stades de la procédure, la Commune a manifesté son accord de principe avec le projet, oralement et par écrit, et que l’ensemble des services techniques de la Commune ont approuvé le projet, considérant ainsi qu’il était réglementaire. Ils invoquent par conséquent une violation du principe de la bonne foi. a) aa)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131 II 627 consid. 6.1 p. 636 ; 129 I 161 consid. 4.1 p. 170).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 129 I 161 consid. 4.1 p. 170). Même si les conditions posées pour bénéficier de la protection de la bonne foi sont réalisées, il faut en outre examiner si l’intérêt public à l’application du droit impératif ne l’emporte pas sur le principe de la bonne foi ; cet examen s’opère par la pesée des intérêts privés de l’administré de se voir protégé dans sa bonne foi et l’intérêt public à l’application régulière du droit objectif (ATF 119 Ib 397 consid. 6 e p. 409 ; 116 Ib 185 consid. 3c p. 187). bb) Selon un principe reconnu en droit public des constructions, les indications favorables données par l’autorité au seul propriétaire ne peuvent pas être opposées aux tiers qui s’en prennent à l’octroi d’une autorisation de construire. On considère en effet que le maître de l’ouvrage doit savoir qu’une construction est soumise à l’enquête publique et qu’il ne peut pas penser de bonne foi qu’une indication ou un renseignement de l’autorité implique une décision par anticipation sur la procédure d’opposition ou de recours. Ainsi, lorsque la loi - comme c’est le cas de la LATC en matière de permis de construire - institue des possibilités formelles de participation ou de recours pour la protection des tiers, il n’y a plus de place pour les assurances qui seraient données hors des procédures prescrites et qui excluraient cette protection juridique (cf. ATF 1C_6/2009 du 24 août 2009 consid. 3.2 ; ATF 117 Ia 285 consid. 3 e p. 290 s). b) En l’espèce, les éventuelles assurances données par la municipalité aux recourants avant la mise à l’enquête publique du projet ne sont pas opposables aux opposants, en leur qualité de voisins directs. Partant, c’est à tort que les recourants se prévalent du principe de la bonne foi. 5.                Les recourants invoquent une violation du principe de l’égalité de traitement au motif que des permis de construire auraient été délivrés par le passé pour des constructions similaires.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 9 p. 44; 131 V 9 consid. 3.7 p. 20, et les arrêts cités). b) En l'occurrence, les constructions mentionnées par les recourants soit ne se situent pas dans un secteur aussi sensible (c’est le cas notamment des immeubles sis à l’entrée ouest de la Commune) soit ne présentent pas les mêmes caractéristiques architecturales. Il s’avère en outre, selon les explications apportées en audience, que les constructions autorisées, en particulier celles sises en amont du chemin du jardin, ont été admises sur la base d’un règlement différent. Partant, les situations ne sont pas comparables et le grief relatif à l’inégalité de traitement doit également être écarté. 6.                Il résulte des considérants que le recours doit être rejeté et la décision attaquée confirmée. Vu le sort du recours, les frais de la cause sont mis à la charge des recourants. Ces derniers verseront en outre des dépens à la Commune de Bursins,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