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AC.2012.0031 vom 12. Juli 2013</w:t>
      </w:r>
    </w:p>
    <w:p>
      <w:r>
        <w:t>VD Tribunal cantonal, 2013-07-12, FR</w:t>
      </w:r>
    </w:p>
    <w:p>
      <w:r>
        <w:rPr>
          <w:b/>
        </w:rPr>
        <w:t xml:space="preserve">Quelle: </w:t>
      </w:r>
      <w:r>
        <w:t>https://mcp.opencaselaw.ch/entscheid/vd_omni_AC.2012.0031</w:t>
      </w:r>
    </w:p>
    <w:p>
      <w:r>
        <w:t>FR: VD_OMNI AC.2012.0031 du 12 juillet 2013</w:t>
      </w:r>
    </w:p>
    <w:p>
      <w:r>
        <w:t>IT: VD_OMNI AC.2012.0031 del 12 luglio 2013</w:t>
      </w:r>
    </w:p>
    <w:p>
      <w:pPr>
        <w:pStyle w:val="Heading2"/>
      </w:pPr>
      <w:r>
        <w:t>Regeste</w:t>
      </w:r>
    </w:p>
    <w:p>
      <w:r>
        <w:t>COMMUNAUTE DES PROPRIETAIRES D'ETAGES FARANDOLE IIB, COMMUNAUTE DES PROPRIETAIRES D'ETAGES FARANDOLE V, GARCIA LOMAS/Département des infrastructures et des ressources humaines, Municipalité d'Orbe | Recours contre un plan routier prévoyant notamment le prolongement d'une route. Le grief des recourants, selon lequel le projet ne comporterait pas les ouvrages nécessaires à l'exécution des travaux permettant de parer aux risques de glissement de terrain, ne résiste pas à l'examen; bien plutôt, de tels ouvrages sont bel et bien prévus, de même que la mise en place d'un dispositif de contrôle des mouvements de terrain en début de chantier. Pour le reste, l'intérêt public à la réalisation du projet - qui permet notamment l'équipement d'une parcelle située en zone à bâtir ainsi qu'une meilleure répartition du trafic - l'emporte sur l'intérêt privé des recourants à ne pas subir des inconvénients liés aux travaux et au développement du secteur conformément à la planification en vigueur. Recours rejeté.</w:t>
      </w:r>
    </w:p>
    <w:p>
      <w:pPr>
        <w:pStyle w:val="Heading2"/>
      </w:pPr>
      <w:r>
        <w:t>Erwägungen</w:t>
      </w:r>
    </w:p>
    <w:p>
      <w:r>
        <w:rPr>
          <w:b/>
        </w:rPr>
        <w:t>E. 16</w:t>
      </w:r>
    </w:p>
    <w:p>
      <w:r>
        <w:t>mars 2010 à laquelle les recourants ont été conviés. Le Municipal en charge des travaux a participé aux deux assemblées générales extraordinaires des PPE recourantes, soit le 10 mars 2011 (Farandole V) et le 24 mars 2011 (Farandole IIB) et a répondu aux questions des copropriétaires et de l'administratrice. Les recourants ont pris part à la procédure de mise à l'enquête publique en tant qu'opposants et ont pu ainsi consulter l'ensemble du dossier. Une deuxième séance d'information a eu lieu le 19 mai 2011. La réponse du 1 er septembre 2011 du Conseil communal aux opposants répond aux griefs principaux de ceux-ci. Il résulte de ces constatations que le droit d'être entendu des recourants a été scrupuleusement respecté et que la décision entreprise est motivée à satisfaction de droit, les recourants ayant été suffisamment en mesure de la déférer à l'autorité de recours en toute connaissance de cause. Les griefs liés à une éventuelle procédure d'expropriation partielle touchant leurs parcelles respectives échappent à l'objet du litige et sont régis par la loi vaudoise du 25 novembre 1974 sur l'expropriation (LE; RSV 710.01) à laquelle renvoie l'art. 14 al. 2 LRou. Quant à l'absence de production par la municipalité d'un projet chiffré concernant les travaux de soutènement de l'ouvrage, il s'agit là de mesures d'exécution du projet litigieux qui échappent également à l'objet du litige. S'agissant des autres doléances exprimées par les recourants, notamment les nuisances inhérentes au chantier, la surcharge de trafic et la sécurité des piétons, les recourants ont reçu les explications y relatives lors des séances et assemblées générales des copropriétaires susmentionnées. Ils estiment que ces explications ne sont pas satisfaisantes sans démontrer toutefois en quoi leur droit d'être entendu aurait été violé par les réponses reçues de la part de la municipalité, le simple désaccord avec la motivation de l'autorité intimée n'étant pas en soi constitutif d'une violation du droit d'être entendu. Mal fondé, ce grief doit ainsi être écarté. 4.         Sur le fond, les recourants se plaignent de la violation des art. 11 et 35 LRou, dont la teneur est la suivante: " Art. 11    Projet de construction Tout projet de construction de route comporte le tracé et les ouvrages nécessaires, notamment les points d'accès et de croisements ainsi que les raccordements aux routes existantes. Art. 35    Terrains instables; ouvrages défectueux 1 Lorsque les fonds voisins d'une route sont menacés d'éboulement ou de glissement naturel, l'Etat ou la commune a le droit d'y exécuter, à ses frais, les travaux utiles. […] " Les recourants estiment que le projet litigieux ne comporte pas les ouvrages nécessaires relatifs à l'exécution des travaux utiles à parer aux risques de glissement de terrain existants dans le périmètre de réalisation du projet. Ils rappellent que le parking de la PPE Farandole IIB est soutenu par un mur en gabions qui présente des signes de déformation relevés par étude géotechnique. Selon un rapport du 14 septembre 2005 de l'entreprise Geotest SA, mandatée par la PPE Farandole IIB au sujet des déformations du terrain constatées, la morphologie du terrain avant construction ainsi que l'occurrence d'un glissement local au sud-est du lotissement attestent d'une qualité médiocre du terrain, mais les observations en surface ne relèvent toutefois pas d'indices d'un glissement généralisé dans le secteur. Le rapport du 17 mars 2011 de l'entreprise De Cerenville Géotechnique SA établi en vue de la réalisation du projet litigieux sur mandat de la municipalité, qualifié de simple "avis" et prévoyant un "rapport géotechnique plus complet […] lorsque le projet définitif aura été établi", relève que "la mise en œuvre de mesures assurant la stabilité du terrain s'avère nécessaire, tant pour la sécurité du trafic que pour préserver l'état des ouvrages existants en amont et en aval", et contient des propositions de travaux de confortation. Ce rapport a été complété à la demande de la municipalité et afin de répondre "aux remarques exprimées par certains riverains", par un avis du 15 avril 2011 de l'entreprise De Cerenville Géotechnique SA, lequel relève que la zone concernée ne figure pas au cadastre des zones en glissement, respectivement que le glissement constaté est un phénomène local et qu'il n'y a aucun indice traduisant l'existence d'un glissement généralisé dans la région; il se réfère pour le reste à la "mise en œuvre du dispositif décrit en détail" dans le rapport du 17 mars 2011. Il résulte des pièces et plans au dossier que le projet litigieux prévoit les ouvrages nécessaires destinés à assurer la stabilité du terrain aux endroits critiques (cf. profils en travers 109 à 114 pour la parcelle 1333 et 107 à 115 pour la parcelle 136). Il n'y a aucune raison de douter en l'état que la municipalité ne veille à la réalisation concrète du dispositif de soutènement décrit en détail dans l'avis géotechnique du 17 mars 2011 de la société De Cerenville Géotechnique SA et ne l'adapte, le cas échéant, selon les nécessités du terrain afin de répondre aux exigences de sécurité et de stabilité de l'ouvrage. Il n'y a aucune raison non plus d'inférer que la municipalité ne se conforme pas aux recommandations de ce rapport qui prévoit, outre des mesures confortatives, la mise en place d'un dispositif de contrôle des mouvements de terrain en début du chantier (inclinomètres, repères de nivellement). Dans ces conditions, on de décèle pas de violation des art. 11 et 35 LRou, de sorte que ce grief doit également être rejeté. 5.         Les recourants se plaignent enfin de l'absence d'intérêt public prépondérant à la réalisation du projet litigieux en invoquant l'art. 5 al. 2 Cst. selon lequel l'activité de l'Etat doit répondre à un intérêt public et être proportionnée au but visé. Ils estiment en substance qu'aucun élément n'atteste que l'intérêt public résiderait dans le développement de nouvelles constructions dans le quartier, respectivement que le projet n'apparaît pas nécessaire en rapport avec le flux de trafic en relation avec l'extérieur de la ville. Le projet, qui implique une expropriation, soit une atteinte importante à leur droit de propriété, leur apparaît ainsi disproportionné; ils invoquent en outre à titre d'intérêt privé les nuisances sonores et émanations polluantes induites par le projet, le risque de glissement de terrain et d'endommagement du mur soutenant le parking, la sécurité des enfants (obligation de traverser et absence de passage pour piétons), la sécurité en lien avec la sortie du parking, la circulation et l'entretien des maisons (visibilité limitée), la perte de la valeur de leurs lots compte tenu de la présence d'une telle route à double sens, ainsi que la perte de bien-être et de calme (suppression d'un espace de verdure). a) Selon un rapport du 19 mai 2008 du bureau technique à la municipalité, le projet litigieux semble avoir été "réactualisé" à la suite d'une demande d'équipement des propriétaires de la parcelle 138 du registre foncier, située en zone constructible, sur laquelle un projet concret de construction de sept villas serait envisagé. Il ressort en outre du dossier que le prolongement du chemin du Coteau était déjà prévu par le plan d'extension partiel de la Magnenette du 10 septembre 1977 ratifié par le Conseil d'Etat le 11 janvier 1978 et qu'il s'agit du seul accès possible à la parcelle 138 depuis le domaine public. Le rapport relève en outre que cette prolongation semble opportune compte tenu du projet de construction cantonal du giratoire des Pâquerets et de la réfection de la partie centrale du chemin de la Magnenette prévue initialement en 2011. De manière générale, en dehors de ces travaux, elle permettrait de décharger le trafic du chemin de la Magnenette et de compléter l'équipement et l'infrastructure en eau potable, eaux claires et eaux usées dans le secteur par un système de mise en séparatif, incontournable à terme. Ces objectifs ont été confirmés par la municipalité lors de l'audience du 29 octobre 2012. L 'équipement d'une parcelle située en zone à bâtir, incluant notamment les conduites d’eau et d’énergie et les canalisations d’égouts, ainsi que les routes et chemins desservant directement la zone à équiper (équipement général), tout comme les routes de quartier accessibles au public et les canalisations publiques (équipement de raccordement), est une obligation de la collectivité publique qui doit le réaliser dans le délai prévu par un programme d'équipement ou laisser la possibilité aux particuliers de le faire moyennant l'avance des frais d'équipement (art. 49 LATC, art. 19 de la loi fédérale du 22 juin 1979 sur l'aménagement du territoire [LAT; RS 700], art. 4 et 5 de la loi fédérale du 4 octobre 1974 encourageant la construction et l'accession à la propriété de logements [LCAP; RS 843]; arrêts AF.2003.0004 du 10 août 2006; AC.1998.0097 du 30 septembre 1998 et les références citées ). L'art. 49a al. 1 LATC prévoit quant à lui un droit à l'équipement que le propriétaire foncier peut faire valoir envers la municipalité si celle-ci a failli à son obligation d'équiper les terrains situés en zone constructible. Il résulte de ce qui précède que, contrairement à ce que soutiennent les recourants, l'intérêt à l'équipement de la parcelle 138 n'est pas un intérêt purement privé, mais une obligation de la municipalité qui doit y donner suite. b) S'ajoute à cette obligation de la municipalité l'intérêt public à une meilleure répartition du trafic dans le secteur concerné ainsi qu'un besoin de coordination des travaux (réfection du chemin de la Magnenette, construction du giratoire des Pâquerets, travaux d'équipement de la parcelle 138) entraînant une synergie et des économies certaines. Il ressort en effet du rapport d'analyse de trafic du 23 septembre 2009 que la route litigieuse est notamment justifiée par le développement de nouvelles constructions dans le quartier Magnenette - Levant - Coteau et qu'il vise également à offrir au quartier un deuxième accès à partir du réseau routier cantonal et communal, que de nouveaux développements, relativement peu importants, sont encore possibles dans le secteur, que la nouvelle liaison supporterait des charges de trafic de l'ordre de 1'300 véhicules par jour  et conduirait à un léger délestage du réseau routier dans les parties Ouest et Sud d'Orbe, respectivement à une redistribution du trafic favorable pour les riverains des quartiers Nord d'Orbe. Afin de tenir compte de ce rapport, notamment de l'augmentation de trafic d'environs 250 véhicules par jour, la municipalité a validé dans sa séance de 20 mars 2012 le plan de marquage et signalisation du chemin du Coteau jusqu'à son raccordement sur le futur giratoire des Pâquerets prévoyant une zone de 30 km/h du chemin de la Magnenette jusqu'à l'accès à la parcelle 138, une limitation à 50 km/h jusqu'au panneau d'entrée dans la localité et à 80 km/h depuis ce point et jusqu'au giratoire. La municipalité a estimé pour le surplus qu'au vu de l'impact limité de l'augmentation du trafic, aucune autre mesure de protection contre le bruit ou la pollution ne se justifiait en l'espèce. Le SR a relevé pour sa part que la question de l'aménagement du territoire, en particulier le réseau de desserte, est du ressort communal. Il a confirmé l'intérêt public lié à la création du giratoire, compte tenu du défaut actuel de visibilité et de la dangerosité du carrefour en raison de la vitesse des automobilistes sur la route cantonale 288b en estimant qu'il paraissait judicieux de prévoir lors de la construction du giratoire une branche supplémentaire à laquelle se raccorderait le chemin prolongé du Coteau. Le SR a précisé pour le surplus lors de l'audience du 29 octobre 2012 que ce prolongement était conforme aux normes en vigueurs et que des adaptations seraient le cas échéant mises en œuvre si le besoin s'en faisait sentir à l'usage. Dans ces conditions, les craintes exprimées par les recourants liées notamment à la sécurité du trafic sur la route projetée, bien que légitimes, ne semblent pas fondées en l'état. c) Pour le surplus, les recourants font valoir une perte de qualité de vie, (nuisances sonores et polluantes, perte de valeur du terrain de par la présence d'une route à double sens, suppression d'un espace de verdure). Certes, la réalisation du projet litigieux entraînera certains inconvénients pour les recourants. Les nuisances évoquées sont toutefois inhérentes au développement normal d'une zone urbaine constructible. En particulier, l'impact de l'augmentation du trafic induite par le projet litigieux (quelques 250 véhicules par jour selon le rapport d'analyse du trafic du 23 septembre 2009) doit être relativisé; les mesures envisagées, notamment une limitation de vitesse à 30 km/h sur le tronçon concerné, semblent appropriées et aptes à réduire les nuisances sonores et polluantes dont se prévalent les recourants. Quant à la suppression d'une zone de verdure, celle-ci est conforme à la réglementation. Il est à relever par ailleurs que les parcelles voisines des recourants, notamment les parcelles 71, 73 et 138 présente un potentiel constructible qui, en cas de concrétisation, entraînerait forcément des nuisances et une dégradation de la qualité de vie des recourants telle qu'ils semblent la concevoir et dont ils devront s'accommoder. d) Par conséquent, il y a lieu d'admettre un intérêt public prépondérant à la réalisation du projet litigieux l'emportant sur l'intérêt privé des recourants à ne pas subir des inconvénients du fait des travaux et du développement du secteur conformément à la planification en vigueur. 6.                Au vu de ces considérations, le recours doit être rejeté, avec frais et dépens à la charge des recourants qui succombent (art. 45, 49 al. 1, 51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