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AC.2012.0012 vom 28. Mai 2013</w:t>
      </w:r>
    </w:p>
    <w:p>
      <w:r>
        <w:t>VD Tribunal cantonal, 2013-05-28, FR</w:t>
      </w:r>
    </w:p>
    <w:p>
      <w:r>
        <w:rPr>
          <w:b/>
        </w:rPr>
        <w:t xml:space="preserve">Quelle: </w:t>
      </w:r>
      <w:r>
        <w:t>https://mcp.opencaselaw.ch/entscheid/vd_omni_AC.2012.0012</w:t>
      </w:r>
    </w:p>
    <w:p>
      <w:r>
        <w:t>FR: VD_OMNI AC.2012.0012 du 28 mai 2013</w:t>
      </w:r>
    </w:p>
    <w:p>
      <w:r>
        <w:t>IT: VD_OMNI AC.2012.0012 del 28 maggio 2013</w:t>
      </w:r>
    </w:p>
    <w:p>
      <w:pPr>
        <w:pStyle w:val="Heading2"/>
      </w:pPr>
      <w:r>
        <w:t>Regeste</w:t>
      </w:r>
    </w:p>
    <w:p>
      <w:r>
        <w:t>MIZAN-BERTOLA/Municipalité de St-Prex, GUYONVARC'H | Il n'est pas arbitraire d'admettre qu'en tant que dépendances de peu d'importance, le couvert à voitures et le mur de soutènement puissent être construits en zone verte, soit hors du périmètre d'implantation des bâtiments d'habitation. De toute manière, les ouvrages litigieux - à supposer illicites - peuvent être autorisés moyennant une dérogation. L'ordre de démolition serait en outre contraire au principe de la proportionnalité.</w:t>
      </w:r>
    </w:p>
    <w:p>
      <w:pPr>
        <w:pStyle w:val="Heading2"/>
      </w:pPr>
      <w:r>
        <w:t>Erwägungen</w:t>
      </w:r>
    </w:p>
    <w:p>
      <w:r>
        <w:rPr>
          <w:b/>
        </w:rPr>
        <w:t>E. 1</w:t>
      </w:r>
    </w:p>
    <w:p>
      <w:r>
        <w:t>La recourante a sollicité que le tribunal procède à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le dossier contient de nombreuses photographies des lieux ainsi que plusieurs plans représentant entre autres les aménagements litigieux produits par la recourante, de même que des photographies résultant d'une visite des lieux par l'autorité intimée, rendant superflue la tenue d'une inspection locale. Pour le reste, la recourante a pu faire valoir ses arguments lors d'un double échange d'écritures intervenu dans la présente procédure. Il y a dès lors lieu de rejeter sa requête tendant à la tenue d'une audience avec inspection locale.</w:t>
      </w:r>
    </w:p>
    <w:p>
      <w:r>
        <w:rPr>
          <w:b/>
        </w:rPr>
        <w:t>E. 2</w:t>
      </w:r>
    </w:p>
    <w:p>
      <w:r>
        <w:t>La décision attaquée porte essentiellement sur la régularisation de travaux (prolongation du couvert à voitures et une partie du mur de soutènement) réalisés entre 2008 et 2009, dont la recourante s'est plainte auprès de l'autorité intimée pour la première fois par lettre du 31 mars 2011. a) Selon la jurisprudence,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(RDAF 2007 I 155 n° 83; 2008 I 267, n° 70); cf. aussi arrêts AC.2010.0166 du 26 janvier 2012; AC.2010.0117 du 12 avril 2011; AC.2008.0313 du 12 février 2009 et les références citées). Le tiers qui aurait pu participer à l'enquête publique peut requérir la municipalité de révoquer l'autorisation de construire d'un ouvrage dispensé à tort d'enquête publique, à condition qu'il intervienne dès la réalisation des travaux litigieux (arrêt AC.2008.0313 du 12 février 2009). b) En l'espèce, au vu de la jurisprudence précitée, on peut se demander si l'intervention de la recourante, le 31 mars 2011, relative à des aménagements dont la plus grande partie a été réalisée dans le courant de l'année 2008, voire au début de l'année 2009, ne doit pas être considérée comme manifestement tardive, à l'instar de ce qui a été jugé dans le cadre du recours AC.2011.0164 précité ayant concerné les mêmes parties. Cette question peut toutefois demeurer ouverte, dès lors que le constructeur a accepté de mettre à l'enquête publique les ouvrages contestés et que le recours doit de toute manière être rejeté pour les motifs exposés dans les considérants suivants.</w:t>
      </w:r>
    </w:p>
    <w:p>
      <w:r>
        <w:rPr>
          <w:b/>
        </w:rPr>
        <w:t>E. 3</w:t>
      </w:r>
    </w:p>
    <w:p>
      <w:r>
        <w:t>L'autorité intimée affirme que les aménagements litigieux ne seraient pas contraires à la réglementation communale. a) L'art. 3 RPQ, qui régit les secteurs constructibles, prévoit ce qui suit: "Les constructions sont destinées à l'habitation. L'implantation des constructions figurant sur le plan est obligatoire. Les constructions seront conformes aux plans, coupes et élévations figurant sur le plan, le nombre de niveaux indiqués sur le plan est impératif, il en est de même des surfaces constructibles de base indiquées sur le plan". L'art. 8.1 RPQ régit quant à lui la zone verte: "Cette zone est destinée à la détente et aux loisirs. La zone verte est divisée en 2 secteurs: a) le secteur Nord qui comprend les parties enterrées b) le secteur Sud qui est inconstructible. L'article 78 du règlement communal sur le plan d'extension et la police des constructions (RPC), du 15.07.1987, est applicable c) compte tenu de la topographie des lieux et sous réserve de l'art. 78 RPC, l'art. 93 RPC, 1 er alinéa, n'est pas applicable aux mouvements de terre en remblai ou en déblai". L'art. 78 RPGA (qui a la même teneur que l'ancien art. 78 "RPC") prévoit ce qui suit s'agissant de la zone verte: "Cette zone est destinée à sauvegarder les sites ainsi que les espaces non bâtis publics ou privés caractéristiques. Toute construction y est interdite, ainsi que les aménagements et mouvements de terre pouvant modifier le caractère des lieux. La construction de piscines est toutefois autorisée. Elles se situeront à une distance de 3 m au minimum de la limite de la parcelle voisine. Leurs bords ne dépasseront pas de plus de 0,5 m le niveau du terrain naturel, et ce au point le plus élevé. Elles n'entrent pas dans le calcul de la surface bâtie. Les terrains privés régis par cette règle sont pris en considération pour le calcul de la surface constructible". En vertu de l'art. 39 al. 1 du règlement d'application de la loi du 4 décembre 1985 sur l'aménagement du territoire et les constructions du 19 septembre 1986 (RLATC; RSV 700.11.1):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b) En l'espèce, l'autorité intimée laisse entendre que, selon le texte de l'art. 3 RPQ, seule l'implantation des "constructions destinées à l'habitation" telle que figurant sur le plan de quartier "La Moraine" est obligatoire et qu'a contrario les autres constructions qui empiètent hors du périmètre d'implantation des bâtiments d'habitation, soit en zone verte, pourraient y être érigés, faute de disposition réglementaire explicite contraire. Si le secteur Sud de la zone verte est inconstructible,  tel n'est cependant pas le cas du secteur Nord de la zone verte, dans lequel sont compris les aménagements litigieux;  à teneur de l'art. 8.1 al. 2 let. a RPQ, le secteur Nord n'est pas absolument inconstructible, puisque des constructions enterrées y sont autorisées. Du reste, même dans le secteur Sud, la construction de piscines y est autorisée, conformément à l'art. 78 al. 2 RPGA (en relation avec l'art. 8.1. al. 2 let. b RPQ). Il n'est donc pas arbitraire d'admettre qu'en tant que dépendances de peu d'importance, le couvert à voitures et le mur de soutènement litigieux peuvent être construits dans les espaces réglementaires conformément à l'art. 39 al. 1 RLATC (cf. aussi art. 100 RPGA). S'agissant plus particulièrement du mur de soutènement, dont une partie a déjà été réalisé en pierres naturelles, il ressort des photographies versées au dossier qu'un tel aménagement ainsi que le mouvement de terre qu'il induit ne modifient pas de manière sensible le caractère des lieux (art. 78 al. 1, 2 ème phrase, RPGA). La surface concernée est en effet de minime importance et la topographie générale des lieux, en pente en direction du lac, demeure inchangée. A noter que l'art. 93 RPGA limitant les mouvements de terre en remblai ou en déblai n'est pas applicable au cas particulier en vertu de l'art. 8.1 al. 2 let. c RPQ. En résumé, l'appréciation de l'autorité intimée, selon laquelle les ouvrages incriminés ne sont pas illicites, n'apparaît pas insoutenable.</w:t>
      </w:r>
    </w:p>
    <w:p>
      <w:r>
        <w:rPr>
          <w:b/>
        </w:rPr>
        <w:t>E. 3.6</w:t>
      </w:r>
    </w:p>
    <w:p>
      <w:r>
        <w:t>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b) En l'occurrence, l'autorité intimée a exposé qu'elle considérait qu'aucun intérêt public prépondérant n'imposerait la démolition des aménagements litigieux, qui sont de faible importance. En outre, elle fait valoir que tant le couvert à voitures, dont la toiture est recouverte des mêmes tuiles que la toiture de l'habitation et qui constitue au demeurant un prolongement de cette construction principale, que le mur de soutènement, dont elle a exigé la végétalisation, sont bien intégrés. Le tribunal ne voit pas de motif de s'écarter de cette appréciation. Il n'existe aucun intérêt public prépondérant à la démolition des ouvrages incriminés, qui du reste n'entraînent pas de préjudice grave pour les voisins. En effet, il ressort des photographies produites par la recourante que les aménagements concernés présentent des dimensions modestes et sont bien intégrés à la construction ou à la partie végétale du terrain; quant au mur de soutènement, qui n'est pas encore entièrement construit selon les plans d'enquête complémentaire, l'autorité intimée en a exigé la végétalisation afin d'en assurer l'intégration. Dans ces circonstances, et quand bien même le constructeur a réalisé les aménagements litigieux sans autorisation, il n'y aurait pas lieu d'en ordonner la démolition qui serait ainsi contraire au principe de la proportionnalité.</w:t>
      </w:r>
    </w:p>
    <w:p>
      <w:r>
        <w:rPr>
          <w:b/>
        </w:rPr>
        <w:t>E. 4</w:t>
      </w:r>
    </w:p>
    <w:p>
      <w:r>
        <w:t>La municipalité affirme qu'elle était de toute façon en droit d'octroyer une dérogation pour les ouvrages incriminés. a) Applicable à titre subsidiaire conformément à l'art. 9.1 RPQ, le RPGA prévoit ce qui suit à son art. 86: "Si les circonstances le justifient, la Municipalité peut accorder de cas en cas des dérogations au présent règlement". Cette disposition est un cas d'application de l'art. 85 al. 1 de la loi du 4 décembre 1985 sur l'aménagement du territoire et les constructions (LATC; RSV 700.11), selon lequel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b) Or, en l'occurrence, force est de constater que l'autorité intimée n'a pas fait preuve d'arbitraire en autorisant les ouvrages litigieux moyennant une dérogation au RPQ. En effet, compte tenu des l'ensemble des circonstances, une telle dérogation est justifiée. L'agrandissement du couvert à voitures (6,09 x 6,08 m) n'est pas d'une grande ampleur; le couvert se trouve dans le prolongement de celui déjà existant et l'ensemble de la construction comporte une seule et même toiture. Au surplus, le couvert est soigneusement intégré au reste de la construction et se trouve en dessous du terrain naturel et en contrebas par rapport à la propriété de la recourante, si bien que l'impact visuel est faible depuis la maison de celle-ci. Le lieu choisi permet d'éviter la construction d'un couvert à voitures à un autre endroit du bien-fonds qui s'intégrerait moins bien dans le paysage. Par ailleurs, le couvert a également pour effet de réduire les nuisances sonores occasionnées par les véhicules à moteur. Quant au mur de soutènement, il apparaît non seulement nécessaire à la consolidation du terrain, mais encore il sera pratiquement invisible puisqu'il sera recouvert de végétation, comme l'exige le permis de construire.</w:t>
      </w:r>
    </w:p>
    <w:p>
      <w:r>
        <w:rPr>
          <w:b/>
        </w:rPr>
        <w:t>E. 5</w:t>
      </w:r>
    </w:p>
    <w:p>
      <w:r>
        <w:t>Enfin, même si les aménagements litigieux ne pouvaient ni être considérés comme licites ni être autorisés moyennant dérogation, il conviendrait encore d'examiner si l'ordre de remise en état - requis par la recourante - aurait dû être confirmé.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 ème éd., Lausanne 1988, p. 200).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 ATF 137 I 167 consid.</w:t>
      </w:r>
    </w:p>
    <w:p>
      <w:r>
        <w:rPr>
          <w:b/>
        </w:rPr>
        <w:t>E. 6</w:t>
      </w:r>
    </w:p>
    <w:p>
      <w:r>
        <w:t>Il résulte de ce qui précède que le recours doit être rejeté et la décision attaquée, confirmée. Succombant, la recourante supporte les frais de justice ainsi que des dépens en faveur de l'autorité intimée et du constructeur, qui ont tous deux agi par l'intermédiaire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