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AC.2011.0317 vom 20. August 2013</w:t>
      </w:r>
    </w:p>
    <w:p>
      <w:r>
        <w:t>VD Tribunal cantonal, 2013-08-20, FR</w:t>
      </w:r>
    </w:p>
    <w:p>
      <w:r>
        <w:rPr>
          <w:b/>
        </w:rPr>
        <w:t xml:space="preserve">Quelle: </w:t>
      </w:r>
      <w:r>
        <w:t>https://mcp.opencaselaw.ch/entscheid/vd_omni_AC.2011.0317</w:t>
      </w:r>
    </w:p>
    <w:p>
      <w:r>
        <w:t>FR: VD_OMNI AC.2011.0317 du 20 août 2013</w:t>
      </w:r>
    </w:p>
    <w:p>
      <w:r>
        <w:t>IT: VD_OMNI AC.2011.0317 del 20 agosto 2013</w:t>
      </w:r>
    </w:p>
    <w:p>
      <w:pPr>
        <w:pStyle w:val="Heading2"/>
      </w:pPr>
      <w:r>
        <w:t>Regeste</w:t>
      </w:r>
    </w:p>
    <w:p>
      <w:r>
        <w:t>MARTIN/Municipalité d'Allaman, Municipalité d'Etoy, Municipalité de St-Prex, Service des routes, Service de la mobilité, Service des eaux, sols et assainissement, Département de l'intérieur | La recourante est domiciliée sur le territoire de la commune d'Allaman (route de la Plage), dans un autre compartiment du territoire que celui du secteur du PAC 299bis " Littoral Parc " le plus proche. Elle est séparée de ce secteur par un vaste coteau viticole et ne peut observer depuis son domicile les constructions pouvant être autorisées par le nouveau PAC modifié. Elle ne se plaint pas non plus d'un accroissement du trafic lié à l'adoption du nouveau plan. Le domicile de la recourante est en outre situé à environ 100 m de la station d'épuration, dont la capacité et proche de la saturation. La recourante n'a toutefois pas non plus invoqué une éventuelle augmentation des nuisances de la station d'épuration qui seraient provoquées par la réalisation du plan. Elle ne peut donc se prévaloir d'un intérêt digne de protection pour contester la décision d'adoption du nouveau PAC 299 bis " Littoral Parc ".</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ceci que le projet de construction ne sera pas réalisé si le grief est admis. Par exemple, un intérêt digne de protection ne peut être dénié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Ainsi, le Tribunal fédéral a reconnu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l’installation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leurs habitations (ATF 1C_417/2011 du 4 juin 2012 consid. 1.2, voir aussi l’ATF 1C_2/2010 du 23 mars 2010 consid. 5). c) En l'espèce, Marcela Martin est domiciliée à la route de la Plage sur le territoire de la Commune d'Allaman. Cette desserte est située à plus de 600 mètres de l'extrémité sud-ouest du périmètre du PAC 299bis "Littoral Parc", dans un autre compartiment du territoire au sud de la route Suisse. Le périmètre du PAC 299bis est séparé de la route de la Plage par le village même d'Allaman et un important coteau viticole compris entre la route du Signal et la route Suisse. De fait, les constructions prévues par le PAC 299bis ne sont pas visibles depuis la route de la Plage en raison de la distance qui les sépare de ce quartier et de la configuration des lieux, notamment la présence du coteau viticole traversé par le chemin des Vignes qui forme un obstacle visuel important. Par ailleurs, la recourante ne prétend pas que le nouveau PAC 299bis entraînerait un accroissement spécifique du trafic sur la route Suisse à proximité de la route de la Plage pouvant provoquer des atteintes nuisibles ou incommodantes sur son lieu d'habitation. Il est vrai que la recourante, dans l'opposition collective du 24 novembre 2010, avait contesté la réglementation de la zone mixte pour le périmètre "G" du nouveau PAC 299bis en procédant à une estimation du trafic supplémentaire qui pourrait être engendré par la réalisation des constructions prévues dans ce secteur. Toutefois, elle n'a pas repris dans son recours cette argumentation. d) Par ailleurs, dans une affaire concernant précisément la recourante, le tribunal a laissé ouverte la question de savoir si un intérêt digne de protection pouvait lui être reconnu pour le motif que son habitation est située à 100 m environ de la station d’épuration et qu’elle subissait les nuisances de cette installation (arrêt AC.2010.00225 du 18 novembre 2011 consid. 1b). En l’espèce, interpellée expressément sur cette question par le tribunal, la recourante n’a pas prétendu que le PAC 299 bis pourrait entraîner une aggravation des nuisances liées à la station d’épuration d’Allaman, notamment en raison du problème récurrent de l’insuffisance de capacité de cette installation. Il n’est pas exclu que le tribunal reconnaisse un intérêt digne de protection à l’administré pour contester un plan ou un projet qui va entraîner une augmentation perceptible des nuisances dans le périmètre d’une station d’épuration déjà saturée. Mais la recourante n’apporte aucun élément permettant de démontrer qu’elle est directement touchée par le plan contesté pour ce motif. Seule la municipalité s’est déterminée sur cette question en informant le tribunal qu’à la suite d’un accord avec la Commune d’Aubonne, approuvé par la Direction générale de l’environnement, les eaux usées du bâtiment IKEA, correspondant à plus de 400 équivalents habitants, allaient être pompées pour être traitées par la station d’épuration d’Aubonne, ce qui permettait de retrouver une charge de la station d’épuration en rapport avec sa capacité. Dans ces conditions, le tribunal doit constater que la recourante n'est pas touchée de manière spéciale et directe par la décision attaquée et qu’elle n'a donc pas un intérêt digne de protection à la contester. La qualité pour recourir ne peut donc lui être reconnue.</w:t>
      </w:r>
    </w:p>
    <w:p>
      <w:r>
        <w:rPr>
          <w:b/>
        </w:rPr>
        <w:t>E. 2</w:t>
      </w:r>
    </w:p>
    <w:p>
      <w:r>
        <w:t>Il résulte des considérants qui précèdent que le recours doit être déclaré irrecevable. Les Municipalités d'Allaman, d'Etoy et de Saint Prex, qui n'ont pas déposé de mémoire, n'ont pas droit à l'allocation de dépens (art. 56 al. 1 LPA-VD). Le département n'a pas droit non plus à l'allocation de dépens pour les motifs mentionnés à l’art. 56 al. 3 LPA-VD, s’agissant d’une autorité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