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AC.2011.0256 vom 21. Mai 2013</w:t>
      </w:r>
    </w:p>
    <w:p>
      <w:r>
        <w:t>VD Tribunal cantonal, 2013-05-21, FR</w:t>
      </w:r>
    </w:p>
    <w:p>
      <w:r>
        <w:rPr>
          <w:b/>
        </w:rPr>
        <w:t xml:space="preserve">Quelle: </w:t>
      </w:r>
      <w:r>
        <w:t>https://mcp.opencaselaw.ch/entscheid/vd_omni_AC.2011.0256</w:t>
      </w:r>
    </w:p>
    <w:p>
      <w:r>
        <w:t>FR: VD_OMNI AC.2011.0256 du 21 mai 2013</w:t>
      </w:r>
    </w:p>
    <w:p>
      <w:r>
        <w:t>IT: VD_OMNI AC.2011.0256 del 21 maggio 2013</w:t>
      </w:r>
    </w:p>
    <w:p>
      <w:pPr>
        <w:pStyle w:val="Heading2"/>
      </w:pPr>
      <w:r>
        <w:t>Regeste</w:t>
      </w:r>
    </w:p>
    <w:p>
      <w:r>
        <w:t>DOMENICONI, BOCHET, CORNAZ, DILITZ, HEVIA, IAMPIETRO, REVET, DE KEGHEL /Municipalité de Gilly, NEWHOME INVESTMENTS S.A., Service Immeubles, Patrimoine et Logistique, Service du développement territorial, Service des eaux, sols et assainissement, VUILLEMIN | Faute de plan de classement ou de règlement de protection des arbres, seul s'applique l'art. 98 LPNMS. En l'espèce, les arbres fruitiers ne sont pas soumis à cette disposition, dès lors qu'il sied de retenir qu'ils faisaient partie d'un verger. La constructrice n'ayant pas démontré que l'un des arbres déjà abattus était un arbre fruitier, il est considéré qu'il était soumis à protection. Une procédure conforme aurait requis pour le moins, d'une part qu'une demande formelle d'autorisation d'abattage mentionnant les motifs invoqués au sens de l'art. 6 al. 1 LPNMS soit mise à l'enquête publique, d'autre part que la municipalité statue sur cette requête expressément et de manière motivée, au terme d'une pesée des intérêts. Il est toutefois renoncé au renvoi de la cause, dès lors que les recourants ont pu s'exprimer à loisir et que le tribunal dispose de tous les éléments pour examiner lui-même l'application de l'art. 6 LPNMS à l'arbre protégé subsistant (c. 8). Est admis le transfert du CUS entre 5 parcelles d'un seul tenant, colloquées dans la même zone et sans distinction de droits à bâtir, faisant l'objet d'une mention 83 LATC. Les coursives comptant dans la surface habitable sont définies comme des galeries permettant l'accès aux portes palières des appartements (c. 9). On peut admettre de n'appliquer qu'aux lucarnes positives la norme limitant la largeur des ouvertures en toiture (c. 10). Recours au TF rejeté, dans la mesure de sa recevabilité (1C_389/2013 du 25 mars 2014).</w:t>
      </w:r>
    </w:p>
    <w:p>
      <w:pPr>
        <w:pStyle w:val="Heading2"/>
      </w:pPr>
      <w:r>
        <w:t>Erwägungen</w:t>
      </w:r>
    </w:p>
    <w:p>
      <w:r>
        <w:rPr>
          <w:b/>
        </w:rPr>
        <w:t>E. 1</w:t>
      </w:r>
    </w:p>
    <w:p>
      <w:r>
        <w:t>En liminaire, il sied de rappeler et préciser les projets mis en cause par les présents recours. a) Quatre projets sont en jeu, à savoir: -    CAMAC 109106 (n° 1), projet mis à l'enquête principale du 26 janvier au 24 février 2011, immeuble Sud sur la parcelle 835 avec accès prévu au Sud, parking souterrain de 16 places, et 3 places extérieures au Nord de la parcelle 263; -    CAMAC 123548 (n° 2), projet mis à l'enquête complémentaire du 7 mai au 5 juin 2011, modification de l'immeuble Sud par un accès prévu au Nord, par une rampe (rectiligne) traversant la parcelle 263, parking souterrain de 16 places, et 3 places extérieures au Nord de la parcelle 263; -    CAMAC 128189 (n° 3), projet mis à l'enquête principale du 18 janvier au 16 février 2012, immeuble Nord sur la parcelle 263 avec tunnel d'accès, parking souterrain de 18 places, et</w:t>
      </w:r>
    </w:p>
    <w:p>
      <w:r>
        <w:rPr>
          <w:b/>
        </w:rPr>
        <w:t>E. 6</w:t>
      </w:r>
    </w:p>
    <w:p>
      <w:r>
        <w:t>S'il n'est pas formé d'opposition dans le délai d'enquête, les plans deviennent définitifs, après leur approbation par le département.</w:t>
      </w:r>
    </w:p>
    <w:p>
      <w:r>
        <w:rPr>
          <w:b/>
        </w:rPr>
        <w:t>E. 7</w:t>
      </w:r>
    </w:p>
    <w:p>
      <w:r>
        <w:t>En cas d'opposition, la municipalité entend les opposants, puis transmet le dossier, avec son préavis sur chacune des oppositions maintenues, au département qui statue.</w:t>
      </w:r>
    </w:p>
    <w:p>
      <w:r>
        <w:rPr>
          <w:b/>
        </w:rPr>
        <w:t>E. 8</w:t>
      </w:r>
    </w:p>
    <w:p>
      <w:r>
        <w:t>Aux yeux des recourants, l'abattage des arbres et haies prévu par les projets litigieux ne remplit pas les conditions légales. a) L’art. 5 LPNMS définit les arbres protégés ainsi qu’il suit: Art. 5 Arbres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Selon l'art. 98 LPNMS, dès l'adoption de la présente loi, les communes disposent d'un délai de trois ans pour désigner par voie de plan de classement ou de règlement les arbres, cordons boisés, boqueteaux et haies vives qui doivent être protégés. Plan ou règlement seront soumis à l'approbation du chef de département concerné. A défaut de mise sur pied d'un tel plan ou règlement dans les délais, le département concerné déterminera lui-même les objets qui doivent être maintenus (al. 1). Jusqu'au moment où une commune a fait approuver un plan ou un règlement, les dispositions suivantes sont applicables: Seront protégés et ne peuvent être abattus qu'aux conditions posées par l'article 6 de la présente loi, les arbres dont le diamètre est supérieur à 30 cm, les cordons boisés, les boqueteaux non soumis au régime forestier et les haies vives. Les arbres faisant partie des vergers sont exclus de cette protection (al. 2). La municipalité confirme qu'en l'état, seul s'applique l'art. 98 LPNMS. En effet, elle ne dispose ni de règlement de protection des arbres, ni de plan de classement au sens de l'art. 5 LPNMS. Elle procède toutefois aux démarches nécessaires à l'adoption d'un règlement communal, lequel serait pratiquement "sous toit". Quoi qu'il en soit, elle a indiqué à l'audience qu'aucun des plants concernés n'était protégé, que le déplacement du collecteur avait entraîné la coupe d'une haie, notamment de laurelles, que les plants abattus avaient un diamètre inférieur à 30 cm et qu'elle avait obtenu l'accord téléphonique de l'inspecteur forestier avant de les abattre. Il ressort des documents déposés après l'audience, le 5 décembre 2012, que les parcelles concernées comportaient auparavant une haie de laurelles et une haie de cyprès (cupressocyparis), déjà abattues. Faites d'essences exotiques, ces haies ne peuvent cependant entrer dans le cadre de l'art. 98 LPNMS, de sorte qu'elles ne sont pas soumises à autorisation. Pour le surplus, les parcelles comptent 14 arbres. Il s'agit de 4 arbres fruitiers (n os 4, 5, 6 et 9), qui ne sont pas soumis à l'art. 98 LPNMS du moment qu'il y a lieu de considérer qu'ils faisaient partie d'un verger. Il s'agit également de 7 feuillus (n os 2, 7, 10, 11, 12, 13 et 14), dont 2 ont atteint un diamètre de plus de 30 cm, soit un érable à feuilles de platane de 35 cm de diamètre (n° 2), destiné à être abattu, et un platane de 65 cm de diamètre (n° 14), qui sera conservé. Enfin, 3 arbres d'une nature indéterminée ont déjà été abattus, dont l'un avait un tronc de 60 cm de diamètre. Dès lors que la constructrice n'a pas démontré qu'il s'agissait d'un arbre fruitier, il sera considéré qu'il était soumis à protection. Il découle de ce qui précède que deux arbres à abattre ou déjà abattus (respectivement un érable à feuilles de platane de 35 cm de diamètre et un arbre de nature indéterminée de 60 cm de diamètre) sont protégés. b) L'abattage de ces deux arbres protégés était par conséquent soumis aux conditions strictes de l'art. 6 LPNMS, ainsi définies: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 liste exemplative de l'art. 6 al. 1 LPNMS est complétée, en exécution de son al. 3, par l'art. 15 du règlement d'application du 10 décembre 1969 de la LPNMS (RLPNMS; RS 450.11.1) qui précise les conditions auxquelles les communes peuvent donner l'autorisation d'abattage dans les termes suivants: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Pour statuer sur une demande d'autorisation d'abattage, l'autorité communale doit procéder à une pesée complète des intérêts en présence et déterminer si l'intérêt public à la protection de l'arbre protégé l'emporte sur les intérêts publics ou privés qui lui sont opposés. L'intérêt public à la conservation de l'arbre doit notamment tenir compte de l'importance de la fonction esthétique ou biologique des plantations en cause, de leur âge, de leur situation dans l'agglomération et de leur état sanitaire. L'intérêt public opposé comprend notamment l'intérêt, concrétisé par la planification locale, à la densification des constructions et à la réalisation des objectifs de développement définis par les plans directeurs. Enfin, l'intérêt privé opposé doit être mesuré à l'aune des inconvénients qu'entraînerait pour le constructeur le maintien des plantations en cause, notamment en termes de restriction de surface bâtie, de choix de l'implantation ou d'aménagement des volumes, étant précisé qu'un constructeur ne peut en principe pas prétendre, au regard des exigences de la LPNMS, à une utilisation optimale et maximale de la parcelle, mais uniquement à une occupation rationnelle, judicieuse et harmonieuse de celle-ci (AC.2012.0111 du 20 septembre 2012 consid. 2c et 4b et les références citées). Par ailleurs, selon l'art. 21 du règlement, lorsqu'une autorisation est requise, la demande en est présentée à la municipalité avec les motifs invoqués. Elle est affichée au pilier public durant vingt jours (al. 1). La municipalité statue sur la demande et sur les oppositions éventuelles (al. 2). En l'espèce, une procédure conforme à la législation aurait requis pour le moins, d'une part qu'une demande formelle d'autorisation d'abattage mentionnant les motifs invoqués au sens de l'art. 6 al. 1 LPNMS soit mise à l'enquête publique, d'autre part que la municipalité statue sur cette requête expressément et de manière motivée, au terme d'une pesée des intérêts. Une telle procédure n'a pas été suivie. La constructrice s'est bornée à cocher la rubrique ad hoc sur la demande de permis de construire et à représenter sur les plans - sans indication de nature ni de diamètre du tronc - les arbres destinés à être abattus. A fortiori, elle n'a ainsi formé aucune demande d'autorisation d'abattre des arbres protégés. La municipalité, qui a considéré d'emblée qu'aucun des arbres concernés n'était protégé, n'a pas requis le dépôt d'une telle demande. Il ne serait ainsi pas exclu de renvoyer la cause à la municipalité pour qu'elle exige le dépôt d'une telle demande et qu'elle statue formellement sur le point de savoir si les conditions de l'art. 6 LPNMS sont réalisées. Toutefois, par souci d'économie de procédure et compte tenu du principe de la proportionnalité, on renoncera à une telle mesure, dès que les recourants ont pu s'exprimer à loisir, que l'un des deux arbres a déjà été abattu de sorte que la présente procédure de permis de construire n'a plus d'objet sur ce point, et que le tribunal dispose de tous les éléments pour examiner lui-même l'application de l'art. 6 LPNMS à l'arbre protégé subsistant. Sur ce dernier point, on rappelle qu'il s'agit d'un érable à feuilles de platane, de 35 cm de diamètre (n° 2). Le plan de situation du géomètre ne le classe pas parmi les arbres "en état de dépérissement", de sorte que l'on peut qualifier son état sanitaire de satisfaisant. Le seul motif justifiant son abattage est ainsi lié aux inconvénients qu'entraînerait son maintien pour la constructrice en termes de restriction de surface bâtie, de choix de l'implantation ou d'aménagement des volumes. A cet égard, la constructrice a indiqué le 11 février 2013 qu'elle était soumise à passablement de contraintes, du fait de la forme particulière des parcelles et de l'option de réaliser l'accès au Nord. La lecture des plans soumis à l'enquête principale CAMAC 128189 (n° 3) révèle que l'arbre en cause se dresse à l'entrée du parking extérieur de 6 places, à proximité de la rampe. Le plan de situation soumis à l'enquête complémentaire CAMAC 128247 (n° 4) dans l'hypothèse d'une non-construction de l'immeuble Nord, indique que l'arbre en cause est planté sur le bord Ouest de la rampe, également à l'entrée du stationnement en surface. Dans ces conditions, et dès lors que cet arbre n'a pas de valeur dendrologique particulière, il apparaît excessif d'ordonner son maintien. Les moyens des recourants doivent également être rejetés sur cette question (voir néanmoins consid. 11 infra).</w:t>
      </w:r>
    </w:p>
    <w:p>
      <w:r>
        <w:rPr>
          <w:b/>
        </w:rPr>
        <w:t>E. 9</w:t>
      </w:r>
    </w:p>
    <w:p>
      <w:r>
        <w:t>Les recourants dénoncent un dépassement de la SBPU. a) L'art. 13 RPGA dispose en substance que le CUS, à calculer selon la norme ORL, est de 0,7. D'après l'art. 61 RPGA, les constructions souterraines ou semi-enterrées ne sont pas prises en considération dans le calcul de la distance aux limites ou entre bâtiments, ni dans le calcul du coefficient d’occupation ou d’utilisation du sol, pour autant que les conditions prévues par l'art. 84 al. 2 LATC soient remplies. Selon la jurisprudence, le coefficient d'utilisation ou d'occupation du sol peut être transféré à certaines conditions sur une parcelle contiguë sise dans la même zone (sur cette question, cf. ATF 109 Ia 188 consid 3; 101 Ia 289 consid. 3; 1C_332/2007 du 13 mars 2008 consid. 4.3; 1P.459/2004 du 9 février 2005 consid. 4.2.3; Piermarco Zen-Ruffinen/Christine Guy-Ecabert, Aménagement du territoire, construction, expropriation, Berne, 2001, n. 868 p. 380 s.; Denis Piotet, Le transfert du coefficient d'utilisation ou d'occupation du sol et le droit privé fédéral, in Droit de la construction 2000, p. 39; voir aussi AC.2009.0235 du 3 juin 2010 consid. 6c et AC.2002.0229 du 12 mai 2003 consid. 3). b) La parcelle 835 sur laquelle sera construit l'immeuble Sud compte 1312 m 2 . Le calcul de sa capacité constructible doit toutefois prendre en considération la restriction 83 LATC mentionnée au Registre foncier (cf. supra partie "en fait", let. A). Faisant suite à un fractionnement s'apparentant à un remaniement parcellaire privé et portant sur un lot de cinq biens-fonds, ce procédé répartit la SBPU entre les nouvelles parcelles du lot sans en dépasser le total initial, par le biais de péréquations. En particulier, elle a attribué à la parcelle 835 une surface théorique supplémentaire de 135,95 m 2 . Dès lors qu'il s'agit d'un ensemble d'un seul tenant, au surplus colloqué dans la même zone (village) et sans distinction de droits à bâtir, ce procédé respecte la jurisprudence précitée selon laquelle le CUS ne peut être transféré qu'entre parcelles contiguës. Par ailleurs, rien n'indique que les bâtiments déjà construits ou transformés sur le lot en question aient dépassé le quota qui leur a été attribué. Ainsi, la surface décisive pour le calcul du CUS sur la parcelle 835 n'est pas de 1312 m 2 , mais de 1447,35 m 2 . La SBPU maximale atteint par conséquent 1013,56 m 2 (1447,35 m 2 x 0,7). La SBPU de l'immeuble Sud projeté s'élève à 1013,55 m 2 à teneur de la demande de permis de construire, à 1013,38 m 2 d'après les calculs ultérieurs de la constructrice du 23 novembre 2012 et à 1004,96 m 2 selon le dernier calcul du bureau Vallat Partenaires SA du 4 décembre 2012. Quoi qu'il en soit, elle respecte dans toutes ces hypothèses la surface maximale autorisée de 1013,56 m 2 . Quant à la parcelle 263 destinée à l'immeuble Nord, elle compte 875 m 2 . Selon la mention 83 LATC précitée, sa surface effective utilisable est cependant diminuée de 26,75 m 2 , de sorte qu'elle s'élève à 848,25 m 2 . La SBPU maximale est ainsi réduite à 593,77 m 2 (848,25 m 2 x 0,7). La demande de permis de construire l'immeuble Nord annonce une SBPU de 589,29 m 2 . Les calculs présentés par la constructrice le 6 mars 2012 retiennent 588,65 m 2 , alors que ceux du bureau Vallat Partenaires SA du 4 décembre 2012 font état de 584,2 m 2 . Dans tous les cas, la SBPU projetée respecte la surface maximale autorisée de 593,77 m 2 . On rappelle par ailleurs que les balcons n'ont pas à être pris dans le calcul du CUS, même s'ils présentent une profondeur de 2 m. Selon la jurisprudence en effet (AC.2009.0253 du 3 août 2010), les balcons sont exclus du calcul du CUS quelles que soient leur forme ou leurs dimensions; les règlements communaux d'une teneur différente sont réservés (ce qui n'est pas le cas en l'espèce). Pour le surplus, s'il est vrai que les balcons servant de coursives comptent dans la surface habitable à teneur de la norme ORL, il sied de préciser que les coursives sont définies comme des galeries permettant l'accès aux portes palières des appartements. Ainsi, le seul fait qu'un balcon soit accessible par plusieurs pièces d'un même appartement, comme en l'espèce, n'en fait pas une coursive.</w:t>
      </w:r>
    </w:p>
    <w:p>
      <w:r>
        <w:rPr>
          <w:b/>
        </w:rPr>
        <w:t>E. 10</w:t>
      </w:r>
    </w:p>
    <w:p>
      <w:r>
        <w:t>Encore faut-il examiner le respect des dispositions relatives aux distances aux limites, à la largeur des ouvertures en toiture et à la dimension des étages de combles. a) L'art. 9 RPGA fixe à 4 m la distance minimum entre bâtiment et limite de propriété. D'après l'art. 56 RPGA,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d’un mètre. En l'espèce, l'angle Sud-Est du bâtiment Sud est distant de 3,90 m du domaine public, soit de la rue des Creuses. Un examen des plans permet toutefois de constater que le caractère oblique de la façade autorise l'application de l'art. 56 RPGA. La distance prévue de 3,90 m n'étant inférieure que de 0,10 m au minimum de 4 m exigé, l'art. 9 RPGA est par conséquent respecté. b) L'art. 62 RPGA a la teneur suivante: " les lucarnes et les pignons peuvent être placés à l’aplomb du parement extérieur du mur de face. Leur largeur additionnée ne peut dépasser le tiers (1/3) de la longueur de la façade. " La jurisprudence retient que la réglementation concernant les ouvertures en toiture a essentiellement pour objet de protéger l'aspect de celle-ci, en veillant à ce qu'elle ne soit pas dénaturée par des ouvertures trop importantes qui auraient pour seul but d'augmenter les surfaces habitables dans l'espace des combles (v. AC.2002.0111 du 10 juillet 2003 consid. 4b). Selon les explications de la municipalité et du bureau technique Vallat Partenaires SA du 4 décembre 2012, les lucarnes négatives ne sont pas prises en considération dans l'application de l'art. 62 RPGA; seules sont comptées les lucarnes positives qui constituent des éléments saillants avec un impact fort sur le voisinage et qui créent une surface utile habitable dans les combles. Cette solution n'excède pas la liberté d'appréciation de la municipalité dans l'interprétation de son propre règlement et peut être admise. En l'espèce, sur l'immeuble Sud, les façades parallèles Nord-Est et Sud-Ouest atteignent chacune une longueur de 28 m, ce qui autorise des lucarnes et pignons d'une largeur totale maximale de 9,33 m (28 m / 3). Le pan Nord-Est inclut quatre lucarnes en saillie de 1,90 m, deux velux de 0,98 m et une tabatière de 0,78 m. Le pan Sud-Ouest comporte deux lucarnes en saillie de 1,90 m, deux balcons-baignoires de 2,40 m et trois velux de 0,98 m. Dès lors que les ouvertures déterminantes se limitent aux lucarnes en saillie, d'une largeur totale de 7,60 m (4 x 1,90 m) sur le pan Nord-Est et de 3,8 m (2 x 1,90 m) sur le pan Sud-Ouest, l'immeuble Sud observe l'art. 62 RPGA. S'agissant de l'immeuble Nord, ses façades parallèles Nord-Est et Sud-Ouest comptent chacune une longueur de 22 m, de sorte que la largeur totale maximale des lucarnes et pignons atteint 7,33 m (22 m / 3). On discerne sur le pan Nord-Est deux lucarnes en saillie de 1,90 m et six velux de 0,78 m. Sur le pan Sud-Ouest sont prévues deux lucarnes en saillie de 3,66 m. La largeur totale des lucarnes en saillie atteint 3,80 m (2 x 1,90 m) sur le pan Nord-Est et 7,32 m (2 x 3,66 m ) sur le pan Sud-Ouest, si bien que le maximum de 7,33 m est là aussi respecté. b) A teneur de l'art. 63 RPGA, la surface de l’étage des combles, mesurée au plafond, ne peut excéder les trois cinquièmes (3/5) de la surface du rez-de-chaussée (al. 1). La surface de plancher en comble, se mesure aussi sur les surfaces déclives du plafond et ce, dès que la hauteur entre le plancher et le plafond mesure 1,50 m de hauteur (al. 2). Dans leur mémoire du 22 juin 2012, les recourants ont remis en cause le respect de cette disposition pour l'immeuble Nord. Selon eux, la surface du rez serait de 175 m 2 . Celle des combles ne peut donc excéder 105 m 2 (175 m 2 x 3 / 5). Or, elle serait de 114 m 2 , ce qui entraînerait la violation de l'art. 63 RPGA. A l'audience, la municipalité a indiqué qu'une surface de plancher se mesurait en principe au sol - ici à partir d'une hauteur de 1,50 m - et que le terme "déclive" n'ajoutait rien à la compréhension de cette disposition. Il ressort par ailleurs du dossier que la surface décisive pour l'application de l'art. 63 RPGA est la SBPU, telle que définie par la norme ORL et la jurisprudence. Selon les calculs de la constructrice du 6 mars 2012, la SBPU du rez de l'immeuble Nord atteint 226,60 m 2 , de sorte que la SBPU des combles ne peut excéder 135,96 m 2 (226,60 m 2 x 3 / 5). Toujours d'après ces calculs, la SBPU des combles projetés s'élève à 135,45 m 2 , ce qui est ainsi conforme au règlement. A teneur toutefois du document de Vallat Partenaires SA du 4 décembre 2012, si la SBPU du rez de l'immeuble Nord est toujours de 222,60 m 2 , celle des combles s'étend à 139,20 m 2 , ce qui dépasse - de 3,24 m 2 - le maximum autorisé de 135,96 m 2 . Dès lors qu'on ne s'explique pas cette différence, qui est par ailleurs minime, il sied de retenir que la SBPU des combles de l'immeuble Nord reste compatible avec l'art. 63 RPGA. S'agissant de l'immeuble Sud, la SBPU du rez est de 388 m 2 selon le bureau Vallat Partenaires SA, ce qui implique une SBPU maximum des combles de 232,80 m 2 (388 m 2 x 3 / 5). Ce bureau aboutit à une SBPU des combles projetés de 228,96 m 2 , ce qui dégage même une marge de 4,20 m 2 . Les recours doivent par conséquent être rejetés sur ces points. c) Enfin, les recourants relèvent que les fondations du bâtiment Nord projeté ne sont distantes que de 1,50 m par rapport à la canalisation qui a été déplacée. Ils craignent que des dégâts, entraînant un risque d'inondation, ne soient causés lors des travaux. Ne pouvant accepter un tel risque, ils requièrent qu'un spécialiste réponde à la question de savoir si le fait de creuser des fondations à 1,50 m de la canalisation représente un quelconque danger. Cas échéant, ce risque ressortit à la gestion du chantier. Il devra être évalué au moment des travaux et les précautions nécessaires devront être prises en conséquence. L'éventualité d'un problème, qui paraît au demeurant faible, ne permet pas à elle seule de refuser le permis de construire. Dans ces conditions, il n'y a pas lieu d'ordonner, dans le cadre de la procédure relative au permis de construire, l'expertise requise par les recourants.</w:t>
      </w:r>
    </w:p>
    <w:p>
      <w:r>
        <w:rPr>
          <w:b/>
        </w:rPr>
        <w:t>E. 11</w:t>
      </w:r>
    </w:p>
    <w:p>
      <w:r>
        <w:t>Vu ce qui précède, les recours, mal fondés, doivent être rejetés. Les décisions du 13 septembre 2011 de la municipalité écartant les oppositions aux enquêtes principale CAMAC 109106 et complémentaire CAMAC 123548, et délivrant le permis de construire 38-2010 sur la base du projet complémentaire CAMAC 123548 avec accès au Nord, doivent être confirmées. Il en va de même des décisions du 22 mai 2012 de la municipalité écartant les oppositions aux enquêtes principale CAMAC 128189 et complémentaire CAMAC 128247 et délivrant les permis de construire 22-2011 et 21-2011 respectivement. Les recourants succombant, ils doivent en principe assumer l'émolument judiciaire, ainsi que les dépens dus à la municipalité et à la constructrice. La municipalité a toutefois méconnu les règles de procédure relatives au déplacement de la canalisation d'eaux claires, ainsi qu'à l'abattage des arbres. Il doit en être tenu compte dans la répartition des frais et dépens (art. 49 al. 2 et 56 al. 1 de la loi du 28 octobre 2008 sur la procédure administrative; LPA-VD; RSV 173.36), de sorte que la municipalité prendra à sa charge une partie des frais judiciaires et verra ses dépens réduits. Le propriétaire de la parcelle 891, qui s'est limité à assister à l'audience sans déposer d'écritures ni prendre de conclusion, ne participe ni aux frais judiciaires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