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AC.2011.0204 vom 19. Januar 2012</w:t>
      </w:r>
    </w:p>
    <w:p>
      <w:r>
        <w:t>VD Tribunal cantonal, 2012-01-19, FR</w:t>
      </w:r>
    </w:p>
    <w:p>
      <w:r>
        <w:rPr>
          <w:b/>
        </w:rPr>
        <w:t xml:space="preserve">Quelle: </w:t>
      </w:r>
      <w:r>
        <w:t>https://mcp.opencaselaw.ch/entscheid/vd_omni_AC.2011.0204</w:t>
      </w:r>
    </w:p>
    <w:p>
      <w:r>
        <w:t>FR: VD_OMNI AC.2011.0204 du 19 janvier 2012</w:t>
      </w:r>
    </w:p>
    <w:p>
      <w:r>
        <w:t>IT: VD_OMNI AC.2011.0204 del 19 gennaio 2012</w:t>
      </w:r>
    </w:p>
    <w:p>
      <w:pPr>
        <w:pStyle w:val="Heading2"/>
      </w:pPr>
      <w:r>
        <w:t>Regeste</w:t>
      </w:r>
    </w:p>
    <w:p>
      <w:r>
        <w:t>RENEVIER/ROSSIER, ARCO LIGNE ARCHITECTURE S.A., Municipalité de Bassins | Selon le texte clair de l'art. 36 al. 1 let. d LROU, il n'existe pas de distance à respecter entre un bâtiment et une route qui fait l'objet d'une servitude de passage public. Projet consistant à démolir une construction existante ne respectant pas la distance à la limite de la parcelle voisine et à reconstruire un bâtiment réglementaire. Le fait de maintenir une partie de la construction existante et de la réhausser viole l'art. 80 LATC, ceci quand bien même la partie maintenue se limite à 2, 95 m2. Rappel des principes en matière d'esthétique et d'intégration des constructions. Pas d'abus du pouvoir d'appréciation de la municipalité dans le cas d'espèce, de même qu'en ce qui concerne la renonciation à exiger des gabarits.</w:t>
      </w:r>
    </w:p>
    <w:p>
      <w:pPr>
        <w:pStyle w:val="Heading2"/>
      </w:pPr>
      <w:r>
        <w:t>Erwägungen</w:t>
      </w:r>
    </w:p>
    <w:p>
      <w:r>
        <w:rPr>
          <w:b/>
        </w:rPr>
        <w:t>E. 1</w:t>
      </w:r>
    </w:p>
    <w:p>
      <w:r>
        <w:t>Le recourant relève que que le chemin de la Trappe, qui traverse la parcelle n° 597, est une route communale de 3 ème classe au sens de l’art. 6 de la la loi du 10 décembre 1991 sur les routes (LRou, RSV 725.01). Il soutient que, par rapport à ce chemin, la construction projetée ne respecte pas la limite des constructions prévues par l’art. 36 LRou. Il invoque en outre une violation de l’art. 38 LRou. La municipalité conteste que le chemin en question puisse être qualifié de route communale de 3 ème classe. Elle se fonde sur un plan de classification des routes de la commune approuvé par le Conseil d’Etat le 10 octobre 1990. a) L’art. 36 LRou a la teneur suivante : "A défaut de plan fixant la limite des constructions, les distances minima à observer, lors de la construction de tout bâtiment ou annexe de bâtiment, sont les suivantes: a) pour les toutes cantonales principales de 1 ère classe, 18 mètres hors des localités et 15 mètres à l'intérieur des localités; b) pour les routes cantonales principales de 2 e classe et secondaires à fort trafic, ainsi que pour les routes communales de 1 ère classe, 13 mètres hors des localités et 10 mètres à l'intérieur des localités; c) pour les autres routes cantonales secondaires, les routes de berges et les routes communales de 2 e classe, 10 mètres hors des localités et 7 mètres à l'intérieur des localités; d) pour les routes communales de 3 e classe, 5 mètres à l'extérieur, comme à l'intérieur des localités, sauf en ce qui concerne les sentiers et les servitudes de passage public. La distance est calculée par rapport à l'axe de la chaussée, délimitée par les voies de circulation principales. Aux abords des carrefours, les distances à observer sont déterminées par le département ou par la municipalité selon qu'il s'agit de routes cantonales ou communales." Les différentes catégories de routes communales figurent à l’art. 6 LRou, qui prévoit ce qui suit : "Les routes communales se subdivisent en: a) routes de 1 ère classe, qui comprennent les routes d'intérêt régional, au besoin avec accès latéral limité, et les voies de débord le long des routes cantonales de 1 ère classe; b) routes de 2 e classe, qui comprennent les routes et chemins vicinaux servant de moyen de communication entre plusieurs communes ou agglomérations d'une même commune, ainsi que les rues, ruelles et places publiques; c) routes de 3 e classe, qui comprennent les autres voies de circulation, notamment les chemins forestiers et ruraux, les autres routes de berge, les passages et les sentiers situés sur le domaine public communal ou qui font l'objet d'une servitude de passage public en faveur de la commune. La classification des routes communales, établie par les autorités communales, est soumise à l'approbation du chef du département concerné." L’art. 38 LRou a la teneur suivante : "S'agissant de la transformation ou de l'agrandissement de bâtiments frappés d'une limite de construction découlant de la présente loi, l'article 82 de la loi sur l'aménagement du territoire et les constructions est applicable par analogie. L'autorisation nécessaire est notamment refusée lorsque la transformation ou l'agrandissement projeté sont de nature à diminuer la sécurité du trafic." b) En l’occurrence, la question de savoir si l’on se trouve en présence d’une route communale de 3ème classe au sens de l’art. 6 al. 1 let c LRou souffre de demeurer indécise. En effet, il résulte de l’art. 36 al. 1 let. d LRou que la distance minimale de 5 m exigée pour ce type de route ne s’applique pas aux sentiers et aux servitudes de passage public. Ceci implique qu’aucune distance minimale entre une construction et une route n’est requise lorsque cette dernière fait l’objet d’une servitude de passage public, comme c’est le cas en l’espèce. Dans ces circonstances, la question de savoir si les conditions permettant de transformer ou d’agrandir un bâtiment frappé d’une limite des constructions en application de l’art. 38 LRou sont réunies souffre également de demeurer indécise.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b) Dans le cas d’espèce, on se trouve, pour l’essentiel, en présence d’un projet de démolition d’un bâtiment existant non réglementaire et de construction d’un nouveau bâtiment a priori réglementaire, notamment en ce qui concerne le respect de la distance à la limite par rapport à la parcelle voisine n° 654. Il ne s’agit par conséquent pas d’une reconstruction d’un bâtiment non réglementaire, qui serait prohibée par l’art. 80 LATC. Cela étant, on relève que le projet prévoit le maintien de l’angle sud-ouest du bâtiment existant, qui ne respecte pas la distance à la limite par rapport à la parcelle voisine. Contrairement à ce que relève la municipalité dans sa réponse au recours, cet élément n’est pas seulement maintenu, mais il est également  rehaussé puisqu’il aura désormais deux niveaux contre un seul niveau pour le bâtiment existant. Même s’il résulte des plans d’enquête que le 2 ème niveau devrait correspondre à un vide sur espace cuisine, on aura bien un volume supplémentaire avec une surélévation de la façade visible depuis la parcelle voisine. Or, comme le tribunal l’a rappellé dans son précédent arrêt, la création de volumes supplémentaires dans un espace où la construction est proscrite doit être considérée comme une aggravation de l'atteinte à la réglementation, ce qui n’est pas admissible au regard de l’art. 80 LATC. Contrairement à ce que soutient la municipalité, on ne saurait admettre cette aggravation de l'atteinte à la réglementation au motif qu’il ne s’agirait que d’un élément de minime importance. De même, ne saurait être suivie l’argumentation de la constructrice selon laquelle, si l’on a bien compris, cet élément devrait être admis dès lors que le projet ne reprend qu’une partie de la façade existante et que, à cet égard, la non réglementarité serait réduite. Si la constructrice veut maintenir des éléments de la construction existante, il lui appartient en tous les cas de ne pas en augmenter la non réglementarité. Pour ce qui est du sous-sol du bâtiment existant dont le maintien est prévu, on relève que, en application de l’art. 5.11 RC, les constructions enterrées ou partiellement enterrées peuvent être implantées jusqu’à la limite de la propriété voisine si un certain nombre de conditions sont remplies. A priori, ces conditions semblent respectées dans le cas d’espèce, ce qui implique que le maintien du sous-sol devrait être admis. Dès lors que le permis de construire doit être annulé pour les motifs évoqués ci-dessus, il n’est toutefois pas nécessaire d’examiner cette question plus avant. 3.                Le recourant met en cause l’esthétique du projet, qui ne s’intégrerait pas aux constructions environnantes constituées principalement de chalets. Il invoque une violation des art. 7.1 et 7.2 RC. a) L’art. 7.1 RC a la teneur suivante: "La Municipalité prend toutes les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 L’art. 7.2 RC a la teneur suivante: "La Municipalité peut imposer des mesures pratiques pour améliorer l'aspect ou l'intégration de constructions ou installations existantes ou projetées. Elle peut aussi exiger que les bâtiments de plus de 15.00 m de longueur soient décrochés en plan et en élévation. L'importance de ces décrochements est fixée pour chaque cas. Dans la règle, ces objets sont soumis à la commission consultative d'urbanisme." Les art. 17 et 65 RPAC constituent des dispositions d’application de l’art. 86 LATC, qui a la teneur suivante: « Art. 86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il incombe en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TC AC.2011.0159 du 19 décembre 2011 ; AC.2010.0338 du 5 octobre 2011). b) En l’espèce, l’inspection locale effectuée dans le cadre de la procédure qui a abouti à l’arrêt AC.2009.0184 a permis au tribunal de constater que le projet litigieux ne s’inscrit pas dans un site bâti présentant un intérêt particulier. A cette occasion, a notamment été relevée la présence de constructions assez disparates, dont certaines assez modernes et s’éloignant du chalet traditionnel. Le projet ne posera dès lors pas de problème d’intégration dans le site, que ce soit en raison de son volume ou de ses caractéristiques architecturales. Au demeurant, le projet  est prévu dans une zone villas et non pas dans une zone où seules des constructions de type « chalets » seraient autorisées. Dans ces circonstances, la municipalité n’a pas abusé du large pouvoir d’appréciation qui doit lui être reconnu en matière d’esthétique et d’intégration des constructions en autorisant le projet querellé. De même, le municipalité n’a pas abusé du pouvoir d’appréciation que lui confère l’art. 7.2 RC en renonçant à imposer des mesures pour améliorer l’aspect ou l’intégration du projet.</w:t>
      </w:r>
    </w:p>
    <w:p>
      <w:r>
        <w:rPr>
          <w:b/>
        </w:rPr>
        <w:t>E. 4</w:t>
      </w:r>
    </w:p>
    <w:p>
      <w:r>
        <w:t>Le recourant soutient que la municipalité aurait dû exiger la pose de gabarits L’art. 10 RC prévoit que la municipalité peut demander que le dossier d’enquête soit complété par la présentation de photographies, maquettes ou dessins des façades des bâtiments contigus ou voisins. Elle peut aussi exiger aux frais du constructeur la pose de gabarits. L'art. 108 al. 3 LATC prévoit pour sa part que la municipalité peut exiger le profilement ou des montages photographiques de la construction projetée, aux frais de la personne sollicitant le permis. On constate que l’art. 10 RC confère à l'autorité communale une faculté laissée à son appréciation. Selon la jurisprudence, l’art. 108 al. 3 LATC confère également un large pouvoir d'appréciation à l'autorité compétente (ATF 1P.352/2005 du 25 août 2005 consid. 2.2). Cette disposition ne lui impose pas d'ordonner systématiquement le profilement; le principe de la proportionnalité exige que le constructeur n'y soit astreint que si cette mesure est utile pour apprécier le projet (cf. Benoît Bovay, Le permis de construire en droit vaudois, 2 ème éd., Lausanne, 1988, p. 68-69; TA, arrêt AC.2004.0275 du 30 mars 2006 consid. 5). La pose de gabarits n'est ainsi pas nécessaire lorsqu'il est possible, sur place, de se faire aisément une idée de la hauteur de la construction par comparaison avec un immeuble existant et grâce à la consultation des plans mis à l'enquête (TC AC.2007.0232 du 7 juillet 2008, concernant des gabarits posés pour l'agrandissement d'un chalet mais pas pour le garage; TA AC.2000.0137 du 28 septembre 2001). En l’occurrence, on a vu que le projet n’est pas prévu dans un secteur sensible et qu’il ne pose pas de problème particulier d’intégration dans l’environnement bâti. En outre, une appréciation correcte du projet et de son impact peut se faire sur la base des plans d’enquête et de la connaissance des lieux. Partant, la municipalité n’a pas abusé du large pouvoir d’appréciation qui lui est reconnu en la matière en renonçant à exiger la pose de gabarits.</w:t>
      </w:r>
    </w:p>
    <w:p>
      <w:r>
        <w:rPr>
          <w:b/>
        </w:rPr>
        <w:t>E. 5</w:t>
      </w:r>
    </w:p>
    <w:p>
      <w:r>
        <w:t>Il résulte des considérants que le recours doit être admis et la décision attaquée annulée. Vu le sort du recours, il convient de mettre les frais de la cause à la charge de la constructrice Arco Ligne Architecture SA. On rappellera à cet égard que, selon la jurisprudence,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Le recourant, qui obtient gain de cause et qui a consulté un avocat, a droit à des dépens, également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