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AC.2011.0188 vom 11. April 2012</w:t>
      </w:r>
    </w:p>
    <w:p>
      <w:r>
        <w:t>VD Tribunal cantonal, 2012-04-11, FR</w:t>
      </w:r>
    </w:p>
    <w:p>
      <w:r>
        <w:rPr>
          <w:b/>
        </w:rPr>
        <w:t xml:space="preserve">Quelle: </w:t>
      </w:r>
      <w:r>
        <w:t>https://mcp.opencaselaw.ch/entscheid/vd_omni_AC.2011.0188</w:t>
      </w:r>
    </w:p>
    <w:p>
      <w:r>
        <w:t>FR: VD_OMNI AC.2011.0188 du 11 avril 2012</w:t>
      </w:r>
    </w:p>
    <w:p>
      <w:r>
        <w:t>IT: VD_OMNI AC.2011.0188 del 11 aprile 2012</w:t>
      </w:r>
    </w:p>
    <w:p>
      <w:pPr>
        <w:pStyle w:val="Heading2"/>
      </w:pPr>
      <w:r>
        <w:t>Regeste</w:t>
      </w:r>
    </w:p>
    <w:p>
      <w:r>
        <w:t>DELEVAUX/Municipalité de Palézieux, Service du développement territorial, Service de l'agriculture | Projet de plan d'affectation communal en vue de la création d'un centre équestre en zone agricole. Rappel du pouvoir d'appréciation de la CDAP qui s'étend à l'opportunité (consid. 1). Confirmation du refus du projet par le municipalité au vu de l'emprise du projet sur des surfaces d'assolement et de l'impossibilité de compenser celles-ci.</w:t>
      </w:r>
    </w:p>
    <w:p>
      <w:pPr>
        <w:pStyle w:val="Heading2"/>
      </w:pPr>
      <w:r>
        <w:t>Erwägungen</w:t>
      </w:r>
    </w:p>
    <w:p>
      <w:r>
        <w:rPr>
          <w:b/>
        </w:rPr>
        <w:t>E. 1</w:t>
      </w:r>
    </w:p>
    <w:p>
      <w:r>
        <w:t>Est litigieuse la création d'une zone équestre en zone agricole. a) L'art. 50a al. 1 let. b LATC permet aux communes de définir des zones spéciales pour permettre l'exercice d'activités spécifiques (sports, loisirs, extraction de gravier, etc.) dont la localisation s'impose hors de la zone à bâtir. De telles zones spéciales sont prévues dans le cadre fixé par les plans directeurs et sont équipées de manière appropriée (art. 50a al. 3 LATC). La création d'une zone équestre présuppose ainsi une planification par l'autorité communale. La procédure d’adoption des plans d’affectation est régie par les art. 56 ss de la loi du 4 décembre 1985 sur l’aménagement du territoire et les constructions (LATC; RSV 700.11). L'art. 57 LATC prévoit que le projet de plan est soumis à l'enquête publique pendant trente jours. Sur la base d'un préavis de la municipalité, le conseil général ou communal statue ensuite sur les éventuelles oppositions et décide de l'adoption du projet (art. 58 LATC). Le dossier est alors transmis au Service du dévoloppement territorial (SDT) en vue de son approbation par le Département de l’intérieur. Avec un pouvoir d'examen restreint à la légalité, le département décide de l'approbation préalable du projet: cette décision, notifiée à la commune et aux opposants, est susceptible d'un recours au Tribunal cantonal (art. 61 LATC). En même temps qu'il notifie sa propre décision, le département transmet également à chaque opposant la décision communale sur son opposition. Cette décision est aussi susceptible de recours au Tribunal cantonal (art. 60 LATC). Le pouvoir d'examen de la Cour de droit administratif et public du Tribunal cantonal est en principe limité au contrôle de la légalité, y compris l'excès ou l'abus du pouvoir d'appréciation (art. 98 de la loi du 28 octobre 2008 sur la procédure administrative: LPA-VD, RSV 173.36) et ne s’étend pas à l’opportunité. Toutefois, les règles de procédure applicables en matière de plans d'affectation communaux dérogent à ce principe. En effet, à la suite des modifications du 11 février 2003 et du 4 mars 2003 qui affectaient notamment la LATC, le recours intermédiaire au département cantonal a été supprimé au profit d'un recours direct au Tribunal cantonal. Afin de respecter l'art. 33 al. 3 let. b de la loi fédérale du 22 juin 1979 sur l'aménagement du territoire (LAT; RS 700), qui impose aux cantons de prévoir au moins une autorité de recours cantonale ayant un libre pouvoir d’examen, le législateur cantonal a étendu le pouvoir d'examen du Tribunal cantonal à l'opportunité (Bulletin du Grand Conseil [BGC], janvier-février 2003, p. 6565 à 6572 et p. 6567). En conséquence, le pouvoir de cognition du tribunal de céans n'est pas restreint à la légalité du projet litigieux, mais s'étend à l'examen de son opportunité (AC.2009.0135 du 26 mars 2010; AC.2009.0131 du 26 mars 2010; AC.2009.0134 du 30 juin 2010; cf. aussi AC.2010.0154 du 31 octobre 2011; AC.2008.0271 du 3 décembre 2009). En matière de planification, le pouvoir d'examen en opportunité ne signifie pas que l'autorité de recours puisse se transformer en autorité d'aménagement (ATF 109 Ib 544, traduit in JdT 1985 I 540).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AC.2006.0086 du 23 octobre 2006; AC.2004.0195 du 19 avril 2005; AC.2001.0220 du 17 juin 2004). L’autorité de recours ne peut créer quelque chose de nouveau, mais doit juger la planification communale d'après le développement souhaité (ATF 114 Ia 245 consid. 2b p. 247 = JdT 1990 I 462). La Cour de droit administratif et public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 AC.2009.0135 précité). Le contrôle en opportunité du plan comprend le contrôle en légalité au moyen duquel l'autorité de recours examine les différents points faisant l'objet du rapport de l'art. 47 de l'ordonnance du 28 juin 2000 sur l'aménagement du territoire (OAT; RS 700.1). Il s'agit notamment de la conformité du plan d'affectation aux buts et principes régissant l'aménagement du territoire (art. 1 et 3 LAT). Il implique également de s’assurer que les principes de planification posés aux art. 2 et 3 OAT sont respectés (AC.2006.0086 du 23 octobre 2006;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2</w:t>
      </w:r>
    </w:p>
    <w:p>
      <w:r>
        <w:t>. Ce chiffre n'est pas contesté. Il lui était impossible de compenser une telle surface, de sorte qu'elle ne pouvait que refuser le projet. Un tel obstacle est de nature à empêcher d'emblée le projet. En effet, la soustraction d'un secteur particulièrement adapté à l'agriculture ne peut se justifier que par des motifs prépondérants. Or, la municipalité a considéré que l'intérêt public mis en avant par le recourant, soit l'intérêt de la population locale à pouvoir pratiquer le sport équestre, n'apparaissait pas suffisant pour empiéter, sans compensation, sur les surfaces d'assolement concernées. Cette pesée des intérêts doit être confirmée. En présence d'un intérêt public aussi important que la préservation des surfaces d'assolement, la municipalité était fondée à considérer que l'intérêt public à pratiquer le sport équestre à cet endroit devait céder le pas. Sa décision doit être confirmée pour ce seul motif déjà, de sorte qu'il n'est pas nécessaire d'examiner les autres motifs invoqués, notamment le problème de l'accès au site.</w:t>
      </w:r>
    </w:p>
    <w:p>
      <w:r>
        <w:rPr>
          <w:b/>
        </w:rPr>
        <w:t>E. 3</w:t>
      </w:r>
    </w:p>
    <w:p>
      <w:r>
        <w:t>Il résulte des considérants qui précèdent que le recours doit être rejeté et la décision attaquée confirmée. Le recourant qui succombe, supporte les frais de justice, ceux-ci étant réduits en l'absence d'audience (art. 49 LPA-VD). La municipalité ayant procédé avec l'assistance d'un avocat, il convient de lui allouer des dépens,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