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AC.2011.0170 vom 31. August 2011</w:t>
      </w:r>
    </w:p>
    <w:p>
      <w:r>
        <w:t>VD Tribunal cantonal, 2011-08-31, FR</w:t>
      </w:r>
    </w:p>
    <w:p>
      <w:r>
        <w:rPr>
          <w:b/>
        </w:rPr>
        <w:t xml:space="preserve">Quelle: </w:t>
      </w:r>
      <w:r>
        <w:t>https://mcp.opencaselaw.ch/entscheid/vd_omni_AC.2011.0170</w:t>
      </w:r>
    </w:p>
    <w:p>
      <w:r>
        <w:t>FR: VD_OMNI AC.2011.0170 du 31 août 2011</w:t>
      </w:r>
    </w:p>
    <w:p>
      <w:r>
        <w:t>IT: VD_OMNI AC.2011.0170 del 31 agosto 2011</w:t>
      </w:r>
    </w:p>
    <w:p>
      <w:pPr>
        <w:pStyle w:val="Heading2"/>
      </w:pPr>
      <w:r>
        <w:t>Regeste</w:t>
      </w:r>
    </w:p>
    <w:p>
      <w:r>
        <w:t>DECRE, DECRE STOLL c/Municipalité de Commugny, GRUAZ | La motivation de la décision attaquée - levant l'opposition circonstanciée des recourantes - est inexistante, partant n'est pas conforme au droit d'être entendu. Le dossier en mains du tribunal ne contenant aucune trace de l'argumentation de l'autorité intimée, il n'y a pas lieu de constituer ab initio cette motivation dans le cadre de la procédure de recours. Il ne faudrait pas que, trop laxiste, la jurisprudence relative à la guérison de la violation du droit d'être entendu constitue pour l'autorité administrative un oreiller de paresse auquel celle-ci s'habituerait, le vice qu'elle commet étant réparé dans l'instance de recours. Recours admis.</w:t>
      </w:r>
    </w:p>
    <w:p>
      <w:pPr>
        <w:pStyle w:val="Heading2"/>
      </w:pPr>
      <w:r>
        <w:t>Erwägungen</w:t>
      </w:r>
    </w:p>
    <w:p>
      <w:r>
        <w:rPr>
          <w:b/>
        </w:rPr>
        <w:t>E. 1</w:t>
      </w:r>
    </w:p>
    <w:p>
      <w:r>
        <w:t>a) Tel qu’il est garanti par l’art. 29 al. 2 de la Constitution fédérale du 18 avril 1999 de la Confédération suisse (Cst; RS 101) ainsi que par l'art. 27 al. 2 de la Constitution du 14 avril 2003 du canton de Vaud (Cst.-VD; RSV 101.01),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(arrêts AC.2010.0239 du 13 mai 2011; PE.2009.0010 du 1 er mai 2009; BO.2008.0060 du 31 octobre 2008; AC.2008.0083 du 28 juin 2008 et les arrêts cités).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pour les décisions qui peuvent faire l'objet d'une réclamation. Il y a d'autre part lieu d'être particulièrement attentif à l'exigence de motivation des décisions administratives lorsque les moyens des recourants ont été formulés dans une procédure d'opposition ou de réclamation préalable (AC.2008.0083 précité). c) En matière de construction, la législation vaudoise prévoit à l'art. 116 de la loi du</w:t>
      </w:r>
    </w:p>
    <w:p>
      <w:r>
        <w:rPr>
          <w:b/>
        </w:rPr>
        <w:t>E. 4</w:t>
      </w:r>
    </w:p>
    <w:p>
      <w:r>
        <w:t>décembre 1985 sur l'aménagement du territoire et les constructions (LATC; RSV 700.11) que les auteurs d'oppositions motivées ou d'observations sont avisés de la décision accordant ou refusant le permis, avec l'indication des dispositions légales et réglementaires invoquées, lorsque l'opposition est écartée. Comme déjà dit (cf. consid. 1b supra), dès lors que les moyens des opposants ont été formulés dans une procédure d'opposition, l'autorité doit être particulièrement attentive à l'exigence de motivation de sa décision levant l'opposition. Selon la jurisprudence, la manière la plus expédiente de procéder à l'avis prévu par l'art. 116 LATC est de communiquer directement aux opposants une copie du permis de construire, qui doit contenir les éventuelles conditions posées (art. 117 LATC) ou du moins de se référer à un document qui les énumère et qui fait donc partie intégrante du permis (AC.2009.0091 du 17 février 2010; AC.2002.0242 du 22 mai 2003). Les exigences de notification et de motivation sont similaires lorsque la demande de permis de construire implique l'octroi d'une autorisation spéciale cantonale (cf. art. 120 à 123 LATC). A cet égard, l'art. 123 al. 3 LATC dispose que les décisions cantonales comportant les délais et les voies de recours sont communiquées à la municipalité, qui les notifie selon les art. 114 et 116. Selon l'art. 75 du règlement d'application du 19 septembre 1986 de la LATC (RLATC; RSV 700.11.1) , le permis ne peut être délivré par la municipalité avant l'octroi de l'autorisation spéciale cantonale (al. 1); le permis indique les autorisations spéciales délivrées par l'Etat et reprend les conditions particulières posées par celles-ci pour l'exécution de l'ouvrage (al. 2). En d'autres termes, les décisions cantonales ne sont pas communiquées directement aux opposants, mais à la municipalité, qui les notifie aux opposants en même temps qu'elle les avise de la décision accordant ou refusant le permis de construire, l'ensemble de ces décisions devant en principe faire l'objet d'une notification unique (AC.2008.0237 du 17 juillet 2009; AC.2003.0200 du 16 décembre 2003; AC 7529/7533 du 7 avril 1992, publié in RDAF 1992 p. 377; AC.1996.0225 du 7 novembre 1997, publié in RDAF 1998 p. 197). L'avis à notifier aux opposants doit ainsi non seulement les informer de la décision prise par la municipalité sur la demande de permis de construire, mais également des décisions prises par les autorités cantonales concernées sur les autorisations spéciales requises par le projet (AC.2009.0091 du 17 février 2010; AC.2008.0334 du 12 novembre 2009; AC.2003.0220 du 11 octobre 2004; AC.2000.0101 du 18 octobre 2000). 2. a) En l'espèce, la motivation de la décision attaquée est inexistante. L'autorité intimée s'est bornée à indiquer que le projet était " conforme " au règlement communal, sans aucunement se déterminer sur les griefs avancés de manière circonstanciée par les recourantes dans leur opposition. A cela s'ajoute que la municipalité n'a pas communiqué aux recourantes la synthèse CAMAC établie par les services de l'Etat. La décision litigieuse ne répond donc pas aux exigences élémentaires de motivation et de forme des art. 29 al. 2 Cst, 27 al. 2 Cst.-VD, 42 LPA-VD, 116 et 123 LATC, de sorte qu'elle viole le droit d'être entendu des recourantes. b)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En l'espèce, dès lors que le dossier en mains du tribunal ne contient aucune trace de l'argumentation de l'autorité intimée, il n'y a pas lieu de constituer ab initio cette motivation dans le cadre de la présente procédure de recours. La cause doit par conséquent être renvoyée à l'autorité intimée pour qu'elle rende une nouvelle décision, motivée à suffisance, communiquant la synthèse CAMAC aux recourantes et indiquant derechef la voie et le délai de recours. 3. Il résulte de ce qui précède que le recours doit être admis et la décision attaquée annulée, le dossier étant renvoyé à la municipalité pour nouvelle décision dans le sens des considérants. Il se justifie de faire supporter les frais judiciaires à la commune exclusivement, dès lors que ce sont ses manquements qui ont entraîné la présente procédure (arrêt AC.2010.0307 du 12 juillet 2011; AC.2009.0196 du 30 septembre 2010 et les références). Pour le même motif, l'autorité intimée versa également des dépens aux recourantes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