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AC.2011.0108 vom 31. Mai 2012</w:t>
      </w:r>
    </w:p>
    <w:p>
      <w:r>
        <w:t>VD Tribunal cantonal, 2012-05-31, FR</w:t>
      </w:r>
    </w:p>
    <w:p>
      <w:r>
        <w:rPr>
          <w:b/>
        </w:rPr>
        <w:t xml:space="preserve">Quelle: </w:t>
      </w:r>
      <w:r>
        <w:t>https://mcp.opencaselaw.ch/entscheid/vd_omni_AC.2011.0108</w:t>
      </w:r>
    </w:p>
    <w:p>
      <w:r>
        <w:t>FR: VD_OMNI AC.2011.0108 du 31 mai 2012</w:t>
      </w:r>
    </w:p>
    <w:p>
      <w:r>
        <w:t>IT: VD_OMNI AC.2011.0108 del 31 maggio 2012</w:t>
      </w:r>
    </w:p>
    <w:p>
      <w:pPr>
        <w:pStyle w:val="Heading2"/>
      </w:pPr>
      <w:r>
        <w:t>Regeste</w:t>
      </w:r>
    </w:p>
    <w:p>
      <w:r>
        <w:t>BAUM/Municipalité de La Tour-de-Peilz, MERMOD, Service des forêts, de la faune et de la nature | L'art. 5 let. b LPNMS fixe le cadre dans lequel les communes adoptent une réglementation assurant la protection des arbres. Ainsi, la réglementation communale ne peut soustraire à la protection requise par le droit cantonal des arbres qui répondent aux critères de l'art. 5 let. b LPNMS, c'est-à-dire des arbres qui doivent être maintenus soit en raison de leur valeur esthétique, soit en raison des fonctions biologiques qu'ils assurent. Inversement, une commune ne peut protéger dans sa réglementation des arbres qui ne répondent à aucun des critères de protection fixés par la loi (confirmation de la jurisprucence AC.2010.0329). En l'espèce, il n'est pas nécessaire de décider si la pratique de la Commune de La Tour-de-Peilz qui limite la protection en fonction du nombre d'arbres par parcelle peut ou non être maintenue dès lors que les arbres en question ne répondent de toute manière pas aux critères de protection fixés par l'art. 5 let. b LPNMS.</w:t>
      </w:r>
    </w:p>
    <w:p>
      <w:pPr>
        <w:pStyle w:val="Heading2"/>
      </w:pPr>
      <w:r>
        <w:t>Erwägungen</w:t>
      </w:r>
    </w:p>
    <w:p>
      <w:r>
        <w:rPr>
          <w:b/>
        </w:rPr>
        <w:t>E. 1</w:t>
      </w:r>
    </w:p>
    <w:p>
      <w:r>
        <w:t>a) La loi vaudoise sur la protection de la nature, des monuments et des sites du 10 décembre 1969 (LPNMS; RSV 450.11) ainsi que son règlement d'application du 22 mars 1989 (ci-après: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d’une décision de classement au sens de l'art. 20 LPNMS (let. a), ou encore de ceux que désignent les communes par voie de classement ou de règlement communal, et qui doivent être maintenus soit en raison de leur valeur esthétique, soit en raison des fonctions biologiques qu'ils assurent (let. b). b) La commune de La Tour-de-Peilz a introduit les dispositions qu’elle doit adopter en application de l’art. 5 LPNMS dans son règlement communal sur le plan d'extension et la police des constructions approuvé par le Conseil d'Etat le 5 juillet 1972 et modifié en date des 17 décembre 1982 et 30 novembre 1984 (ci-après: RPE). L’art. 51a RPE, prévoit hors des zones 1 à 5, que tout arbre d'essence majeure est protégé (al. 1), soit toute espèce à moyen ou grand développement, pouvant atteindre une hauteur de 10 mètres et plus, ou ayant une valeur dendrologique reconnue (al. 2). Un tel arbre ne peut être abattu sans autorisation. Il est également interdit de le détruire, le mutiler ou l'élaguer de manière inconsidérée et contraire aux règles de l'art (al. 3). L'art. 51 let. b RPE fixe le régime particulier applicable dans les zones à bâtir du territoire communal, soit les zones 1 à 5 ; cette disposition a la teneur suivante : "b) Protection des arbres, cordons boisés, boqueteaux et haies vives dans les zones 1 à 5 Obligation de conservation Le propriétaire doit maintenir en tout temps le minimum d'arbres prescrits sous "obligation de planter". Obligation de planter Pour toute construction nouvelle, toute transformation importante, tout changement d'affectation notable, le propriétaire doit planter au minimum un arbre d'essence majeure, comme définie sous lettre a), pour chaque tranche ou fraction de 500 m</w:t>
      </w:r>
    </w:p>
    <w:p>
      <w:r>
        <w:rPr>
          <w:b/>
        </w:rPr>
        <w:t>E. 2</w:t>
      </w:r>
    </w:p>
    <w:p>
      <w:r>
        <w:t>Il résulte des considérants qui précèdent que le recours doit être rejeté et la décision attaquée maintenue. Au vu de ce résultat, les frais de justice doivent être mis à la charge de la recourante. Le tiers intéressé ainsi que la municipalité, qui obtiennent gain de cause, ont droit aux dépens qu’ils ont requis. Les frais d’expertise, arrêtés à 1000 fr., sont également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