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AC.2011.0089 vom 8. März 2012</w:t>
      </w:r>
    </w:p>
    <w:p>
      <w:r>
        <w:t>VD Tribunal cantonal, 2012-03-08, FR</w:t>
      </w:r>
    </w:p>
    <w:p>
      <w:r>
        <w:rPr>
          <w:b/>
        </w:rPr>
        <w:t xml:space="preserve">Quelle: </w:t>
      </w:r>
      <w:r>
        <w:t>https://mcp.opencaselaw.ch/entscheid/vd_omni_AC.2011.0089</w:t>
      </w:r>
    </w:p>
    <w:p>
      <w:r>
        <w:t>FR: VD_OMNI AC.2011.0089 du 8 mars 2012</w:t>
      </w:r>
    </w:p>
    <w:p>
      <w:r>
        <w:t>IT: VD_OMNI AC.2011.0089 del 8 marzo 2012</w:t>
      </w:r>
    </w:p>
    <w:p>
      <w:pPr>
        <w:pStyle w:val="Heading2"/>
      </w:pPr>
      <w:r>
        <w:t>Regeste</w:t>
      </w:r>
    </w:p>
    <w:p>
      <w:r>
        <w:t>LUGEON /Municipalité de Gilly, THONNEY | La condition fixée par un permis de construire selon laquelle la municipalité précise qu'il ne sera délivré aucune autorisation supplémentaire ou complémentaire pour des places de stationnement ou garage sur les parcelles 214 et 215 en plus des 15 places autorisées par le permis en raison de la qualité des accès, a la portée d'une décision en constatation de droit. Cette condition a été modifiée par la municipalité en cours de procédure pour préciser qu'il ne s'agit que d'une information sur le risque que les accès ne soient plus considérés comme suffisants en cas de demande de permis pour des places de stationnement supplémentaires. Cette clause n'a plus de caractère contraignant et réserve tous les droits des constructeurs dans une procédure ultérieure de demande de permis de construire. Le recours contre une telle clause est donc irrecevable.</w:t>
      </w:r>
    </w:p>
    <w:p>
      <w:pPr>
        <w:pStyle w:val="Heading2"/>
      </w:pPr>
      <w:r>
        <w:t>Erwägungen</w:t>
      </w:r>
    </w:p>
    <w:p>
      <w:r>
        <w:rPr>
          <w:b/>
        </w:rPr>
        <w:t>E. 1</w:t>
      </w:r>
    </w:p>
    <w:p>
      <w:r>
        <w:t>a) La loi vaudoise du 28 octobre 2008 sur la procédure administrative (LPA-VD; RSV 173.36) définit à son art. 3 la décision comme suit: "Art.</w:t>
      </w:r>
    </w:p>
    <w:p>
      <w:r>
        <w:rPr>
          <w:b/>
        </w:rPr>
        <w:t>E. 3</w:t>
      </w:r>
    </w:p>
    <w:p>
      <w:r>
        <w:t>Les recourants ont encore débattu en cours de procédure le problème posé par le tracé du collecteur communal et les exigences de la commune concernant le déplacement de ce collecteur. Toutefois, la contestation sur le tracé du collecteur communal semble sortir de l'objet du litige. En effet, selon la jurisprudence, l'objet du recours est déterminé par la décision attaquée et par les conclusions des parties (ATF 1C_214/2011 du 16 janvier 2012). En l'espèce, si la décision attaquée comporte bien une condition concernant le déplacement du collecteur communal, les conclusions du recours n'abordent pas cette question. Au demeurant, si la municipalité modifie les conditions initialement prévues pour le déplacement du collecteur communal, elle doit naturellement notifier une nouvelle décision aux recourants qui ouvrirait, cas échéant, une nouvelle voie de recours. En l'état, le tribunal doit constater que le recours est également irrecevable dans la mesure où il concernerait le déplacement du collecteur communal, car cette question sort de l’objet du recours.</w:t>
      </w:r>
    </w:p>
    <w:p>
      <w:r>
        <w:rPr>
          <w:b/>
        </w:rPr>
        <w:t>E. 4</w:t>
      </w:r>
    </w:p>
    <w:p>
      <w:r>
        <w:t>Il résulte des considérants qui précèdent que le recours doit être déclaré irrecevable. Compte tenu des circonstances particulières de la cause, notamment du fait que le recours est devenu irrecevable uniquement à la suite de la modification de la décision municipale, le tribunal considère qu'il y a lieu de compenser les dépens, les frais de justice étant pour le surplus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