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AC.2011.0065 vom 27. Januar 2012</w:t>
      </w:r>
    </w:p>
    <w:p>
      <w:r>
        <w:t>VD Tribunal cantonal, 2012-01-27, FR</w:t>
      </w:r>
    </w:p>
    <w:p>
      <w:r>
        <w:rPr>
          <w:b/>
        </w:rPr>
        <w:t xml:space="preserve">Quelle: </w:t>
      </w:r>
      <w:r>
        <w:t>https://mcp.opencaselaw.ch/entscheid/vd_omni_AC.2011.0065</w:t>
      </w:r>
    </w:p>
    <w:p>
      <w:r>
        <w:t>FR: VD_OMNI AC.2011.0065 du 27 janvier 2012</w:t>
      </w:r>
    </w:p>
    <w:p>
      <w:r>
        <w:t>IT: VD_OMNI AC.2011.0065 del 27 gennaio 2012</w:t>
      </w:r>
    </w:p>
    <w:p>
      <w:pPr>
        <w:pStyle w:val="Heading2"/>
      </w:pPr>
      <w:r>
        <w:t>Regeste</w:t>
      </w:r>
    </w:p>
    <w:p>
      <w:r>
        <w:t>BURDET/Municipalité de Chardonne | Construction non autorisée d'une dalle-terrasse en béton en porte-à-faux (largeur de 60 à 80 cm) au-dessus d'un grand mur de soutènement en pierres appareillées (longueur de 15 m), dans le territoire d'agglomération II du plan de protection de Lavaux. Pour des motifs esthétiques, cette construction ne saurait être autorisée: son effet visuel inesthétique est important et ne se justifie pas par les considérations esthétiques invoquées par les recourants (alignement de la dalle à un couvert sis dans le prolongement du mur). L'ordre de remise en état doit être confirmé: il est justifié par l'intérêt prépondérant de la protection de Lavaux et les coûts de remise en état n'apparaissent pas disproportionnés au regard de cet intérêt public. Pas non plus de violation du principe de l'égalité de traitement. Recours rejeté.</w:t>
      </w:r>
    </w:p>
    <w:p>
      <w:pPr>
        <w:pStyle w:val="Heading2"/>
      </w:pPr>
      <w:r>
        <w:t>Erwägungen</w:t>
      </w:r>
    </w:p>
    <w:p>
      <w:r>
        <w:rPr>
          <w:b/>
        </w:rPr>
        <w:t>E. 1</w:t>
      </w:r>
    </w:p>
    <w:p>
      <w:r>
        <w:t>Aucun travail de construction ou de démolition, en surface ou en sous-sol, modifiant de façon sensible la configuration, l'apparence ou l'affectation d'un terrain ou d'un bâtiment, ne peut être exécuté avant d'avoir été autorisé. Les articles 69a, alinéa 1, et 72a, alinéa 2, sont réservés.</w:t>
      </w:r>
    </w:p>
    <w:p>
      <w:r>
        <w:rPr>
          <w:b/>
        </w:rPr>
        <w:t>E. 2</w:t>
      </w:r>
    </w:p>
    <w:p>
      <w:r>
        <w:t>Ne sont pas soumis à autorisation :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Il reste à examiner l'ordre de remise en état.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Lausanne 1988, p. 200). Par démolition, il faut entendre non seulement la démolition proprement dite de travaux effectués sans droit, mais aussi la remise en état des lieux (voir par exemple AC.2010.0238 du 22 juillet 2011 et les références citées; AC.2007.0259 du 6 mai 2008 confirmé par 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(AC.2010.0238 précité; AC.2009.0203 du 9 novembre 2010; AC.2008.0178 du 29 décembre 2008 et les références citées, notamment RDAF 1982 p. 448).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p. 255 ;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précité; AC.2008.0221 précité consid. 3a).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précité et les arrêts cités; AC.2008.0221 précité consid. 3a). b) Dans le cas présent, les recourants étaient assistés par un architecte et ne contestent d'ailleurs pas avoir procédé de leur propre initiative à l'adjonction de la dalle litigieuse, lors des travaux de construction autorisés d'un mur de soutènement et d'un couvert à voitures. Ils estiment toutefois avoir des motifs justifiés (esthétique) pour avoir procédé de la sorte. Comme il a été vu plus haut, l'alignement de leur terrasse avec le couvert au-dessus des places de stationnement ne justifie pas le maintien de la marquise litigieuse. Il existe en effet un intérêt public prépondérant, soit la protection du site du Lavaux, qui justifie l'ordre de remise en état. La municipalité doit veiller avec d’autant plus de vigilance à ce que les constructions s’intègrent à l’environnement, ce qui n’est manifestement pas le cas de l'ouvrage litigieux. La bonne foi des recourants, à supposer qu'elle puisse être admise, n'est dès lors pas déterminante. Les recourants ont également invoqué devant la municipalité un coût important des travaux; ils n'ont toutefois pas étayé ce point dans le cadre de la présente procédure. Au contraire, ils estiment qu'il s'agirait d'un ouvrage de minime importance. Quoi qu’il en soit, les coûts de remise en état (rabotage de la partie en porte-à-faux de la dalle de béton de la terrasse) n'apparaissent nullement disproportionnés au regard de l'intérêt public prépondérant à la remise en état des lieux telle que proposée par la municipalité. Les recourants, qui ont mis l'autorité intimée devant le fait accompli, doivent donc se laisser opposer la décision attaquée.</w:t>
      </w:r>
    </w:p>
    <w:p>
      <w:r>
        <w:rPr>
          <w:b/>
        </w:rPr>
        <w:t>E. 4</w:t>
      </w:r>
    </w:p>
    <w:p>
      <w:r>
        <w:t>Les recourants font encore implicitement grief à la municipalité de violer le principe de l'égalité de traitement, dès lors que d'autres marquises ou terrasses semblent avoir été autorisées ou tolérées sur le territoire communal. a) D'une façon générale, l'égalité de traitement est garanti par l'art. 8 al. 1 de la Constitution fédérale de la Confédération suisse du 18 avril 1999 [ Cst.; RS 101 ] ).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1C_447/2009 du 11 mars 2010;  ATF 136 I 17; ATF 2C_608/2007 du 30 mai 2008 consid. 4 et réf.) b) En l'occurrence, l'autorité intimée a expliqué lors de l'audience qu'elle avait récemment refusé une terrasse "promontoire" du type de la dalle litigieuse dans le cadre de la procédure de permis de construire relatif à la construction d'une villa sise au sud-ouest de la parcelle des recourants (gabarits visibles lors de l'inspection locale); il serait dès lors arbitraire d'autoriser l'aménagement contesté. En outre, elle entendait être ferme s'agissant de futures demandes similaires. Les cas similaires dont les recourants font état seraient anciens et la pratique municipale serait devenue plus sévère. Une telle appréciation ne prête pas le flanc à la critique, dès lors qu'il s'agit de préserver une région bénéficiant d'une protection particulière. En conséquence, l'existence de constructions plus anciennes semblables ne justifie pas de tolérer le maintien de l'ouvrage litigieux sous l'angle de l'égalité de traitement. Au contraire, dans la mesure où la municipalité a expressément indiqué vouloir adopter une position plus stricte en termes d'esthétique, ce principe commande un traitement identique à la pratique actuelle tendant au refus de terrasses de type "promontoire". Les recourants ne sauraient ainsi se prévaloir du principe de l'égalité de traitement pour s'opposer à la décision attaquée. Ce grief doit donc être rejeté.</w:t>
      </w:r>
    </w:p>
    <w:p>
      <w:r>
        <w:rPr>
          <w:b/>
        </w:rPr>
        <w:t>E. 5</w:t>
      </w:r>
    </w:p>
    <w:p>
      <w:r>
        <w:t>Il résulte des considérants qui précèdent que le recours doit être rejeté et la décision attaquée confirmée. Les recourants, qui succombent, supportent les frais de justice et verseront des dépens à l'autorité intimée, qui est intervenue dans la procédure avec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