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AC.2011.0050 vom 28. April 2011</w:t>
      </w:r>
    </w:p>
    <w:p>
      <w:r>
        <w:t>VD Tribunal cantonal, 2011-04-28, FR</w:t>
      </w:r>
    </w:p>
    <w:p>
      <w:r>
        <w:rPr>
          <w:b/>
        </w:rPr>
        <w:t xml:space="preserve">Quelle: </w:t>
      </w:r>
      <w:r>
        <w:t>https://mcp.opencaselaw.ch/entscheid/vd_omni_AC.2011.0050</w:t>
      </w:r>
    </w:p>
    <w:p>
      <w:r>
        <w:t>FR: VD_OMNI AC.2011.0050 du 28 avril 2011</w:t>
      </w:r>
    </w:p>
    <w:p>
      <w:r>
        <w:t>IT: VD_OMNI AC.2011.0050 del 28 aprile 2011</w:t>
      </w:r>
    </w:p>
    <w:p>
      <w:pPr>
        <w:pStyle w:val="Heading2"/>
      </w:pPr>
      <w:r>
        <w:t>Regeste</w:t>
      </w:r>
    </w:p>
    <w:p>
      <w:r>
        <w:t>EHRAT/Municipalité de Sugnens, FAMILIA PLAN SA | Le recourant n'explique pas quels liens particuliers il aurait avec la construction projetée, ni quel préjudice lui porterait cet ouvrage. Il se contente d'invoquer sa qualité de citoyen usant de son "droit d'expression", de préposé agricole et de personne ayant l'exercice des droits civils. La liberté d'expression (art. 16 al. 2 Cst) n'emporte pas le droit d'intervenir en toutes circonstances et en toute procédure, indépendamment des conditions posées par la loi. Il en va de même de l'exercice des droits civils (art. 12 CC), la capacité d'ester en justice ne se confondant pas avec la qualité pour agir. Enfin, aucune loi n'habilite les préposés agricoles à recourir contre des décisions administratives cantonales ou communales. Recours irrecevable.</w:t>
      </w:r>
    </w:p>
    <w:p>
      <w:pPr>
        <w:pStyle w:val="Heading2"/>
      </w:pPr>
      <w:r>
        <w:t>Erwägungen</w:t>
      </w:r>
    </w:p>
    <w:p>
      <w:r>
        <w:rPr>
          <w:b/>
        </w:rPr>
        <w:t>E. 1</w:t>
      </w:r>
    </w:p>
    <w:p>
      <w:r>
        <w:t>Le fait que Familia Plan SA ait l'intention de remettre son projet de construction à l'enquête publique ne rend pas le présent recours sans objet. En effet la constructrice n'a pas renoncé à sa demande de permis de construire, et la municipalité n'a pas révoqué sa décision du 26 janvier 2011. Cela dit, on observe qu'en levant l'opposition de M. Ehrat, la municipalité n'a semble-t-il pas simultanément délivré le permis de construire, contrairement à ce que prescrit l'art. 114 al. 1 de la loi du 4 décembre 1985 sur l'aménagement du territoire et les constructions (LATC; RSV 700.11; v. aussi arrêts AC.2006.0213 du 13 mars 2008; AC.2000.0162 du 14 février 2005; AC.2003.0220 du 11 octobre 2004).</w:t>
      </w:r>
    </w:p>
    <w:p>
      <w:r>
        <w:rPr>
          <w:b/>
        </w:rPr>
        <w:t>E. 1.1</w:t>
      </w:r>
    </w:p>
    <w:p>
      <w:r>
        <w:t>p. 103; 131 II 361 consid. 1.2 p. 365).</w:t>
      </w:r>
    </w:p>
    <w:p>
      <w:r>
        <w:rPr>
          <w:b/>
        </w:rPr>
        <w:t>E. 2</w:t>
      </w:r>
    </w:p>
    <w:p>
      <w:r>
        <w:t>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(cf. CDAP,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(arrêt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Le recours d'un particulier formé dans l'intérêt général ou dans l'intérêt d'un tiers est exclu (ATF 135 II 145 consid. 6.1 p. 150; 133 II 468 consid. 1 pp. 469 ss; 131 II 649 consid. 3.1 p. 651). Par ailleurs, le droit de recours suppose d'existence d'un intérêt actuel à obtenir l'annulation ou la modification de la décision attaquée (ATF 136 II 101 consid.</w:t>
      </w:r>
    </w:p>
    <w:p>
      <w:r>
        <w:rPr>
          <w:b/>
        </w:rPr>
        <w:t>E. 3</w:t>
      </w:r>
    </w:p>
    <w:p>
      <w:r>
        <w:t>Invité à justifier sa qualité pour agir, le recourant a répondu en ces termes: 1.             a.   En ma qualité de citoyen de Sugnens, je fais usage de mon droit d'expression; b.   J'agis également dans le but de ne pas laisser diminuer ou détruire le patrimoine communal ou privé. 2.            En ma qualité de Préposé agricole, je dois intervenir dans cette cause, puisque les travaux envisagés se situent dans une zone de protection, captage de sources, etc; Références : divers documents, oppositions, recours, etc. 3.            Enfin, pour appuyer encore ma légitimité à recourir dans la présente affaire, je cite le Code civil suisse: Livre premier: Droit des personnes Titre premier: Des personnes physiques Chapitre premier:                      De la personnalité « Aux art. 11, 12 et 13 CC »: «12: annotation: «Celui qui a la capacité civile a le droit d'ester en justice ATF 42 II 553 JT 1917 I 304, ATF 48 II 26 JT 1922 I 418»……. Ainsi que l'art. 28 CC ." a) La liberté d'expression (art. 16 al. 2 de la Constitution fédérale du 18 avril 1999 [CST; RS 101]) n'emporte pas le droit d'intervenir en toutes circonstances et en toute procédure, indépendamment des conditions posées par la loi. Il en va de même de l'exercice des droits civils (art. 12 CC), la capacité d'ester en justice ne se confondant pas avec la qualité pour agir. Quant à la protection des droits de la personnalité (art. 28 CC), encore faudrait-il que le recourant explique de quelle atteinte illicite il est victime pour que son invocation présente quelque pertinence. b) L'intérêt digne de protection exigé par l'art. 79 let. a LPA-VD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135 II 145 et 133 II 468 précités). En l'occurrence le recourant n'explique pas quels liens particuliers il aurait avec la construction projetée sur la parcelle n o 47, ni quel préjudice lui porterait cet ouvrage. Il résulte de l'arrêt AC.2010.0092 du 20 janvier 2011 que le recourant habite au nord-nord-est du village de Sugnens, au bord de la route de Fey, à plus de 500 mètres à vol d'oiseau de la parcelle n° 47. A lire son recours et sa lettre du 4 mars 2011, c'est en sa qualité de citoyen qu'il conteste le bien-fondé de la décision municipale. A cet égard, il n'apparaît pas plus touché que les autres habitants de la commune et ne saurait être admis à recourir dans l'intérêt général (ATF 135 II 145 et 133 II 468 précités). c) Enfin, le recourant se prévaut en vain de la qualité de préposé agricole. Les préposés agricoles effectuent des tâchent de renseignement, de recensement, de vérification et de contrôle dans le terrain conformément aux instructions données par le Service de l'agriculture (cf. art. 31 du règlement d'application de la loi sur l'agriculture vaudoise [RLVLAgr; RSV 910.03.1]). Aucune loi ne les habilite à recourir contre des décisions administratives cantonales ou communales.</w:t>
      </w:r>
    </w:p>
    <w:p>
      <w:r>
        <w:rPr>
          <w:b/>
        </w:rPr>
        <w:t>E. 4</w:t>
      </w:r>
    </w:p>
    <w:p>
      <w:r>
        <w:t>Conformément aux art. 45 et 49 LPA-VD, un émolument sera mis à la charge du recourant débouté.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