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AC.2010.0349 vom 12. Juli 2011</w:t>
      </w:r>
    </w:p>
    <w:p>
      <w:r>
        <w:t>VD Tribunal cantonal, 2011-07-12, FR</w:t>
      </w:r>
    </w:p>
    <w:p>
      <w:r>
        <w:rPr>
          <w:b/>
        </w:rPr>
        <w:t xml:space="preserve">Quelle: </w:t>
      </w:r>
      <w:r>
        <w:t>https://mcp.opencaselaw.ch/entscheid/vd_omni_AC.2010.0349</w:t>
      </w:r>
    </w:p>
    <w:p>
      <w:r>
        <w:t>FR: VD_OMNI AC.2010.0349 du 12 juillet 2011</w:t>
      </w:r>
    </w:p>
    <w:p>
      <w:r>
        <w:t>IT: VD_OMNI AC.2010.0349 del 12 luglio 2011</w:t>
      </w:r>
    </w:p>
    <w:p>
      <w:pPr>
        <w:pStyle w:val="Heading2"/>
      </w:pPr>
      <w:r>
        <w:t>Regeste</w:t>
      </w:r>
    </w:p>
    <w:p>
      <w:r>
        <w:t>GIRARDET c/Municipalité de Nyon, Service des eaux, sols et assainissement | Lorsqu'une opposition est formée à l'encontre d'un plan d'équipement d'eaux claires et d'eaux usées destiné à un futur quartier, il appartient à la municipalité d'entendre l'opposant, puis d'établir un préavis sur cette opposition, ensuite de transmettre le dossier avec ce préavis au département. Enfin, il incombe au département de statuer sur l'opposition - et d'approuver le plan -, sa décision pouvant cas échéant faire l'objet d'un recours au Tribunal cantonal. En l'espèce, la décision de la municipalité levant elle-même l'opposition du recourant (et délivrant le permis de construire le plan d'équipement) a été prise par une autorité incompétente ratione materiae. Sa nullité doit être constatée.</w:t>
      </w:r>
    </w:p>
    <w:p>
      <w:pPr>
        <w:pStyle w:val="Heading2"/>
      </w:pPr>
      <w:r>
        <w:t>Erwägungen</w:t>
      </w:r>
    </w:p>
    <w:p>
      <w:r>
        <w:rPr>
          <w:b/>
        </w:rPr>
        <w:t>E. 1</w:t>
      </w:r>
    </w:p>
    <w:p>
      <w:r>
        <w:t>Lorsqu'une commune ou une association de communes veut créer, modifier ou compléter un réseau de canalisations, elle en fait établir les plans d'exécution qui doivent être conformes aux PGEE. Sont réservées les adaptations imposées par les conditions topographiques, géologiques et techniques.</w:t>
      </w:r>
    </w:p>
    <w:p>
      <w:r>
        <w:rPr>
          <w:b/>
        </w:rPr>
        <w:t>E. 2</w:t>
      </w:r>
    </w:p>
    <w:p>
      <w:r>
        <w:t>Les plans et toutes pièces annexes demeurent déposés pendant trente jours au greffe municipal où le public peut en prendre connaissance.</w:t>
      </w:r>
    </w:p>
    <w:p>
      <w:r>
        <w:rPr>
          <w:b/>
        </w:rPr>
        <w:t>E. 3</w:t>
      </w:r>
    </w:p>
    <w:p>
      <w:r>
        <w:t>Il est donné avis de ce dépôt par une insertion dans la "Feuille des avis officiels" et une dans un journal local au moins et par affichage au pilier public.</w:t>
      </w:r>
    </w:p>
    <w:p>
      <w:r>
        <w:rPr>
          <w:b/>
        </w:rPr>
        <w:t>E. 4</w:t>
      </w:r>
    </w:p>
    <w:p>
      <w:r>
        <w:t>Moyennant accord préalable du service en charge des eaux, les communes peuvent dispenser d'enquête les objets de minime importance.</w:t>
      </w:r>
    </w:p>
    <w:p>
      <w:r>
        <w:rPr>
          <w:b/>
        </w:rPr>
        <w:t>E. 5</w:t>
      </w:r>
    </w:p>
    <w:p>
      <w:r>
        <w:t>Les oppositions motivées et les observations auxquelles donne lieu le projet sont déposées par écrit au greffe municipal durant le délai d'enquête.</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A l'issue de chaque étape des travaux, la commune ou association de communes tient à jour le plan des canalisations telles qu'elles ont été construites. 2. En l'espèce, ainsi que l'indique à juste titre le SESA dans ses observations du 12 janvier 2011, l'ouvrage litigieux constitue un nouvel équipement de collecteurs d'eaux claires et d'eaux usées, soit un développement du réseau de canalisations au sens de l'art. 25 LPEP. a) Il découle de la partie "En fait" supra que la municipalité a mis à l'enquête le projet d'équipement de collecteurs d'eaux claires et d'eaux usées du 10 mars au 8 avril 2010. Ce projet a suscité d'une seule opposition, celle d'André Girardet le 1 er avril 2010, pour des motifs relevant du caractère non définitif du remaniement parcellaire et de l'insuffisance des regards prévus. b) Selon l'art. 25 LPEP, lorsqu'une opposition est formulée, la procédure à suivre est régie par l'alinéa 7 de cette disposition. Ainsi, il appartient à la municipalité d'entendre l'opposant, puis d'établir un préavis sur cette opposition, ensuite de transmettre le dossier avec ce préavis au département. Enfin, il incombe au département de statuer sur l'opposition - et d'approuver le plan -, sa décision pouvant cas échéant faire l'objet d'un recours au Tribunal cantonal. Bien que le recourant ait déposé une opposition, cette procédure n'a pas été suivie (étant rappelé que l'opposition ne se bornait pas à des griefs liés à la disposition des parcelles - d'ordre de droit civil - mais également à l'équipement proprement dit). A une date indéterminée en effet, la municipalité a transmis le dossier aux services de l'Etat (on ignore si l'opposition du 1 er avril 2010 y figurait). Par courrier du 15 avril 2010, soit après la clôture de l'enquête publique, le SESA a communiqué à la municipalité les autorisations spéciales des instances concernées, concluant que sous réserve des remarques qui précédaient et du résultat de l'enquête publique, il délivrait, par la présente lettre, l'autorisation cantonale requise au sens de l'art. 120 de la loi du 4 décembre 1985 sur l'aménagement du territoire et les constructions (LATC; RSV 700.11) et donnait l'approbation découlant de l'art. 25 al. 6 (sic) LPEP. C'est dans ces conditions que la municipalité a, à la place du département compétent, levé l'opposition du recourant (et délivré le permis de construire) le 1 er novembre 2010. La décision attaquée levant l'opposition du recourant (et délivrant le permis de construire) a ainsi été rendue par l'autorité communale, incompétente en la matière. Dans les circonstances de l'espèce, n'est pas déterminante l'explication donnée par le SESA le 12 janvier 2011, selon lequel sa pratique consiste à donner simultanément l'autorisation spéciale au sens de l'art. 120 al. 1 let. c LATC et l'approbation fondée sur l'art. 25 LPEP en réservant le résultat de l’enquête publique, de manière à éviter une double circulation aux stades du préavis et de l’autorisation, qui serait inutile dans les cas où l’enquête publique ne suscite pas d’opposition. D'une part en effet, le SESA n'a pas statué sur l'opposition (dont on ignore, encore une fois, si celle-ci est parvenue à sa connaissance) et d'autre part le SESA n'indique pas bénéficier d'une délégation du département, seule autorité formellement compétente au sens de l'art. 25 LPEP, qu'il s'agisse de son alinéa 6 ou de son alinéa 7. c) Dès lors qu'elle a été prononcée par une autorité communale en place d'une autorité cantonale, et qu'il ne découle pas des circonstances de l'espèce que la sécurité du droit s'en trouverait gravement lésée, la nullité de la décision querellée doit être constatée. d) La décision contestée n'ayant pas été rendue par l'autorité compétente, le tribunal ne peut examiner, à ce stade de la procédure, si le plan d'équipement litigieux repose à juste titre sur les nouvelles dispositions des parcelles et s'il respecte la norme SIA 190. 3. Vu ce qui précède, le recours doit être admis et la nullité de la décision attaquée doit être constatée, aux frais de l'autorité intimée, qui succombe. Celle-ci supportera également une indemnité pour les dépens, en faveur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