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AC.2010.0329 vom 29. April 2011</w:t>
      </w:r>
    </w:p>
    <w:p>
      <w:r>
        <w:t>VD Tribunal cantonal, 2011-04-29, FR</w:t>
      </w:r>
    </w:p>
    <w:p>
      <w:r>
        <w:rPr>
          <w:b/>
        </w:rPr>
        <w:t xml:space="preserve">Quelle: </w:t>
      </w:r>
      <w:r>
        <w:t>https://mcp.opencaselaw.ch/entscheid/vd_omni_AC.2010.0329</w:t>
      </w:r>
    </w:p>
    <w:p>
      <w:r>
        <w:t>FR: VD_OMNI AC.2010.0329 du 29 avril 2011</w:t>
      </w:r>
    </w:p>
    <w:p>
      <w:r>
        <w:t>IT: VD_OMNI AC.2010.0329 del 29 aprile 2011</w:t>
      </w:r>
    </w:p>
    <w:p>
      <w:pPr>
        <w:pStyle w:val="Heading2"/>
      </w:pPr>
      <w:r>
        <w:t>Regeste</w:t>
      </w:r>
    </w:p>
    <w:p>
      <w:r>
        <w:t>Copropriétaires de la PPE RTE DU PORT 34-36, BOVAY, CHAVAILLAZ, BEUCHAT, BROOMFIELD-SCHÜPBACH, SCHMIDLIN, ROL, PPE RTE DU PORT 34-36/Municipalité de Pully, Centre de Conservation de la faune et de la nature, ANTHAMATTEN, LOUP | La protection d'un arbre ne dépend pas seulement de ses dimensions et de son classement formel par le plan et le règlement communal sur la protection des arbres, mais aussi de ses caractéristiques matérielles propres à justifier objectivement une protection au sens de l'art. 5 let. b LPNMS (valeur esthétique ou fonctions biologiques). En l'espèce, une haie de thuyas non entretenue ne présente aucune qualité esthétique et ne remplit pas de fonction biologique déterminante de sorte qu'elle n'est pas soumise à la protection de l'art. 5 let. b LPNMS, même si certaines caractéristiques dimensionnelles fixées par la réglementation communale sont respectées.</w:t>
      </w:r>
    </w:p>
    <w:p>
      <w:pPr>
        <w:pStyle w:val="Heading2"/>
      </w:pPr>
      <w:r>
        <w:t>Erwägungen</w:t>
      </w:r>
    </w:p>
    <w:p>
      <w:r>
        <w:rPr>
          <w:b/>
        </w:rPr>
        <w:t>E. 1</w:t>
      </w:r>
    </w:p>
    <w:p>
      <w:r>
        <w:t>a) La loi vaudoise sur la protection de la nature, des monuments et des sites du 10 décembre 1969 (LPNMS; RSV 450.11) ainsi que son règlement d'application du 22 mars 1989 (ci-après: RLPNMS; RSV 450.11.1)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d’une décision de classement au sens de l'art. 20 LPNMS (let. a), ou encore de ceux que désignent les communes par voie de classement ou de règlement communal, et qui doivent être maintenus soit en raison de leur valeur esthétique, soit en raison des fonctions biologiques qu'ils assurent (let. b). b) Le Conseil communal de Pully a adopté le 24 mars 2004 un plan de classement des arbres et un règlement sur la protection des arbres qui a été approuvé par le Département de la sécurité et de l’environnement le 26 juillet (RPA). Le règlement a pour but de préserver un patrimoine arboré de valeur, de garantir la biodiversité de la végétation et du paysage et de réaliser sur le long terme, notamment avec un plan de classement des arbres, un paysage arboré de qualité, intégré au milieu naturel et construit de la Commune de Pully (art. 1 er al. 2 RPA). Le règlement communal comporte un plan de classement des arbres de valeur, localisés sur l’ensemble du territoire communal, ainsi que des fiches de référence pour chaque arbre et secteur localisé sur le plan de classement (art. 2 RPA). En outre, le règlement instaure une protection générale de tous les arbres dont le diamètre est supérieur à 30 cm mesuré à 1 m 30 au-dessus du sol (art. 3 al. 2 RPA). Les arbres repérés sur le plan de classement sont également protégés ainsi que les cordons boisés, boqueteaux et haies vives qui sont assimilés aux arbres (art. 3 al. 1 et al. 2 let. b RPA). Il convient toutefois de déterminer si les deux arbres en cause entrent dans le champ de protection de l’art. 5 let. b LPNMS et de la réglementation communale, c’est-à-dire, s’il s’agit de plantations qui doivent être maintenues soit en raison de leur valeur esthétique, soit en raison des fonctions biologiques qu'elles assurent. c) En l’espèce, selon l’avis du Centre de conservation de la faune et de la nature, la grandeur et le diamètre des deux arbres en cause résultent d’un défaut d’entretien d’une haie de thuyas. Il s’agit d’arbres qui ne jouent aucun rôle écologique ou paysager et ne présentent pas de valeur biologique, contrairement aux haies constituées de plantes indigènes adaptées à la région. C’est la raison pour laquelle le Centre de conservation de la faune et de la nature recommande en général d’arracher les haies mono spécifiques composées de thuyas ou de laurelles, et de les remplacer par des haies d’essence indigène. Il ressort de l’avis du Centre de conservation de la faune et de la nature que la haie de thuyas, même constituées de plants qui ont grandis pour atteindre un diamètre supérieur à 30 cm, n’est pas soumise à la protection de l’art. 5 LPNMS et l’art. 3 RPA car de telles plantations ne présentent aucune qualité esthétique et ne remplissent pas de fonctions biologiques déterminantes. Les dimension de ces plantations résultent seulement du défaut d'entretien d'une haie de thuyas qui n'entre pas dans le champ de protection de l'art. 5 LPNMS et elles ne permettent pas de bénéficier de la protection du règlement communal sur les arbres. C’est donc à juste titre que la municipalité avait considéré dans sa première décision du 7 octobre 2010 que la haie de thuyas n’était pas soumise à la protection du règlement communal, et la révocation de cette décision par la nouvelle décision du 18 octobre 2010 ne se justifie pas (sur les conditions applicables à la révocation d’un acte administratif, voir les arrêt GE.2010.0069 du 30 juillet 2010 consid. 2a confirmé par l’ATF 1C_397/2010 , du 20 décembre 2010, consid. 5.1) .</w:t>
      </w:r>
    </w:p>
    <w:p>
      <w:r>
        <w:rPr>
          <w:b/>
        </w:rPr>
        <w:t>E. 2</w:t>
      </w:r>
    </w:p>
    <w:p>
      <w:r>
        <w:t>Il résulte des considérants qui précèdent que le recours doit être admis et la décision attaquée annulée. En ce qui concerne la répartition des frais et dépens, la jurisprudence du tribunal a posé le principe suivant: lorsque la procédure met en présence, outre le recourant et l’autorité intimée, une ou plusieurs autres parties dont les intérêts sont opposés à ceux du recourant, c’est en principe à la partie adverse, à l’exclusion de la collectivité publique dont la décision est annulée ou modifiée, de supporter les frais et dépens (RDAF 1994 p. 324). En conséquence, l’émolument de justice ainsi que les dépens en faveur de la PPE recourante doivent être mis à la charge des tiers intéressés.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