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AC.2010.0278 vom 18. Januar 2011</w:t>
      </w:r>
    </w:p>
    <w:p>
      <w:r>
        <w:t>VD Tribunal cantonal, 2011-01-18, FR</w:t>
      </w:r>
    </w:p>
    <w:p>
      <w:r>
        <w:rPr>
          <w:b/>
        </w:rPr>
        <w:t xml:space="preserve">Quelle: </w:t>
      </w:r>
      <w:r>
        <w:t>https://mcp.opencaselaw.ch/entscheid/vd_omni_AC.2010.0278</w:t>
      </w:r>
    </w:p>
    <w:p>
      <w:r>
        <w:t>FR: VD_OMNI AC.2010.0278 du 18 janvier 2011</w:t>
      </w:r>
    </w:p>
    <w:p>
      <w:r>
        <w:t>IT: VD_OMNI AC.2010.0278 del 18 gennaio 2011</w:t>
      </w:r>
    </w:p>
    <w:p>
      <w:pPr>
        <w:pStyle w:val="Heading2"/>
      </w:pPr>
      <w:r>
        <w:t>Regeste</w:t>
      </w:r>
    </w:p>
    <w:p>
      <w:r>
        <w:t>COUCET / Service de l'économie, du logement et du tourisme, Police cantonale du commerce, Municipalité de Corcelles-près-Payerne | L'art. 120 al. 1 let. c LATC a pour effet d'assujettir à une autorisation spéciale les objets énumérés dans l'annexe II du règlement d'application (RLATC), mais sa systématique est altérée par le fait que l'annexe II RLATC énumère aussi des objets déjà assujettis à une autorisation en vertu de dispositions spéciales. Question de savoir si, pour les établissements publics qu'elle mentionne, l'annexe II RLATC instaure sur la base de l'art. 120 al. 1 let. c LATC un cas d'autorisation spéciale qui se distinguerait de l'autorisation spéciale requise par la LADB, en particulier en l'espèce par l'art. 21 LADB. Question laissée indécise.</w:t>
      </w:r>
    </w:p>
    <w:p>
      <w:pPr>
        <w:pStyle w:val="Heading2"/>
      </w:pPr>
      <w:r>
        <w:t>Erwägungen</w:t>
      </w:r>
    </w:p>
    <w:p>
      <w:r>
        <w:rPr>
          <w:b/>
        </w:rPr>
        <w:t>E. 1</w:t>
      </w:r>
    </w:p>
    <w:p>
      <w:r>
        <w:t>Indépendamment des dispositions qui précèdent, ne peuvent, sans autorisation spéciale, être construits, reconstruits, agrandis, transformés ou modifiés dans leur destination: a.    les constructions hors des zones à bâtir; b.    les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d.    les constructions, les ouvrages, les installations et les équipements soumis à autorisation ou qui doivent être approuvés selon des dispositions légales ou réglementaires fédérales ou cantonales.</w:t>
      </w:r>
    </w:p>
    <w:p>
      <w:r>
        <w:rPr>
          <w:b/>
        </w:rPr>
        <w:t>E. 2</w:t>
      </w:r>
    </w:p>
    <w:p>
      <w:r>
        <w:t>Le département retire l'autorisation d'exercer ou l'autorisation d'exploiter ou encore l'autorisation simple lorsque : a.    le titulaire a enfreint, de façon grave ou répétée, les prescriptions cantonales, fédérales et communales relatives à l'exploitation des établissements et du droit du travail; b.    des personnes ne satisfaisant pas aux exigences légales en matière de séjour des étrangers sont employées dans l'établissement.</w:t>
      </w:r>
    </w:p>
    <w:p>
      <w:r>
        <w:rPr>
          <w:b/>
        </w:rPr>
        <w:t>E. 3</w:t>
      </w:r>
    </w:p>
    <w:p>
      <w:r>
        <w:t>Vu ce qui précède, le recours est admis et la décision attaquée est annulée. Il appartiendra à l'autorité cantonale de statuer à nouveau en application des dispositions évoquées aux considérants 1 ci-dessus, et à la municipalité, comme le prévoit l'art. 114 al. 1 LATC, de se déterminer en accordant ou en refusant le permis de construire dans une décision motivée conformément aux exigences des art. 115 et 116 LATC.</w:t>
      </w:r>
    </w:p>
    <w:p>
      <w:r>
        <w:rPr>
          <w:b/>
        </w:rPr>
        <w:t>E. 4</w:t>
      </w:r>
    </w:p>
    <w:p>
      <w:r>
        <w:t>Compte tenu de l'issue de la procédure, il n'y a pas lieu de percevoir un émolument. Le recourant, n'ayant pas agi par l'intermédiaire d'un mandataire professionnel, n'a pas droit à des dépens (art. 49, 52 al. 1, 55 al. 1 a contrario , 91 et 99 de la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