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AC.2010.0219 vom 12. Juni 2012</w:t>
      </w:r>
    </w:p>
    <w:p>
      <w:r>
        <w:t>VD Tribunal cantonal, 2012-06-12, FR</w:t>
      </w:r>
    </w:p>
    <w:p>
      <w:r>
        <w:rPr>
          <w:b/>
        </w:rPr>
        <w:t xml:space="preserve">Quelle: </w:t>
      </w:r>
      <w:r>
        <w:t>https://mcp.opencaselaw.ch/entscheid/vd_omni_AC.2010.0219</w:t>
      </w:r>
    </w:p>
    <w:p>
      <w:r>
        <w:t>FR: VD_OMNI AC.2010.0219 du 12 juin 2012</w:t>
      </w:r>
    </w:p>
    <w:p>
      <w:r>
        <w:t>IT: VD_OMNI AC.2010.0219 del 12 giugno 2012</w:t>
      </w:r>
    </w:p>
    <w:p>
      <w:pPr>
        <w:pStyle w:val="Heading2"/>
      </w:pPr>
      <w:r>
        <w:t>Regeste</w:t>
      </w:r>
    </w:p>
    <w:p>
      <w:r>
        <w:t>MARTINEZ c/Municipalité de Cheseaux-Noréaz | Condition de validité d'un renvoi au normes professionnelles privées: un renvoi statique ne pose pas de difficulté mais un renvoi dynamique constitue une délégation de pouvoir législatif qui nécessite une base constitutionnelle. A supposer que la norme SIA fasse l'objet d'un renvoi qui la rendrait obligatoire, il est certain en tout cas qu'aucune disposition légale spécifique ne permet de conférer force légale à chacune des versions successives de cette norme au fur et à mesure qu'elle subit des modifications. En l'espèce, le fait que la norme SIA ait été modifiée après l'achèvement de la construction et après la visite de la commission communale de salubrité, qui a admis l'octroi d'une dérogation conformément à la norme de l'époque (bâtiment utilisé par son propriétaire), ne permet pas à la municipalité d'exiger des modifications de la barrière de l'escalier à l'occasion de la décision sur le permis d'habiter.</w:t>
      </w:r>
    </w:p>
    <w:p>
      <w:pPr>
        <w:pStyle w:val="Heading2"/>
      </w:pPr>
      <w:r>
        <w:t>Erwägungen</w:t>
      </w:r>
    </w:p>
    <w:p>
      <w:r>
        <w:rPr>
          <w:b/>
        </w:rPr>
        <w:t>E. 1</w:t>
      </w:r>
    </w:p>
    <w:p>
      <w:r>
        <w:t>La décision attaquée, du 28 juin 2010, se réfère à l'art. 24 RLATC. Le respect des dispositions légales et réglementaires ainsi que des plans d'affectation fait partie des vérifications auxquelles la municipalité doit procéder avant de délivrer le permis de construire (art. 104 LATC). Toutefois, la décision litigieuse n'a pas été rendue à l'occasion de la délivrance du permis de construire, qui date du 7 avril 2008, mais à la suite d'une visite du 30 octobre 2009 effectué par l'autorité communale, après l'achèvement des travaux, en vue de la délivrance du permis d'habiter prévu à l'art. 128 LATC. Le litige concerne la configuration de la barrière de l'escalier intérieur, dans sa partie supérieure qui surplombe le vide d'étage. Dans un premier temps, l'autorité communale a fait signer aux recourants, le 30 décembre 2009, une dérogation prévue par la norme SIA 358 de 1996 pour les bâtiments d'habitation utilisés par le propriétaire lui-même. En revanche, la décision attaquée, du 28 juin 2010, invoque la nouvelle norme SIA 543 358 entrée en vigueur le 1er mars 2010, qui ne prévoit plus cette possibilité de dérogation. Se pose dès lors la question de savoir si le droit vaudois des constructions confère une portée contraignante à la norme SIA en question au moment de la délivrance du permis de construire, puis celle de savoir, puisque le permis de construire a été délivré sur la base de plans où la configuration de la barrière n'apparaît pas, si l'autorité municipale peut revenir sur l'autorisation de construire délivrée en imposant aux constructeurs des exigences nouvelles qui n'étaient pas mentionnées dans les différentes conditions et charges énumérées dans le permis de construire délivré le 7 avril 2008 ou dans la synthèse CAMAC correspondante. Il s'agit aussi de savoir si ces nouvelles exigences pourraient être imposées au constructeur à l'occasion de la délivrance du permis d'habiter. Enfin se pose la question, dans l'hypothèse où la norme professionnelle aurait une portée contraignante, de la portée des modifications successives subies par cette norme privée.</w:t>
      </w:r>
    </w:p>
    <w:p>
      <w:r>
        <w:rPr>
          <w:b/>
        </w:rPr>
        <w:t>E. 2</w:t>
      </w:r>
    </w:p>
    <w:p>
      <w:r>
        <w:t>Le règlement cantonal fixe également les normes en matière d'isolation phonique et thermique, de ventilation, d'éclairage et de chauffage des locaux.</w:t>
      </w:r>
    </w:p>
    <w:p>
      <w:r>
        <w:rPr>
          <w:b/>
        </w:rPr>
        <w:t>E. 3</w:t>
      </w:r>
    </w:p>
    <w:p>
      <w:r>
        <w:t>En principe, les escaliers sont munis d'une main-courante, qu'ils soient intérieurs ou extérieurs.</w:t>
      </w:r>
    </w:p>
    <w:p>
      <w:r>
        <w:rPr>
          <w:b/>
        </w:rPr>
        <w:t>E. 4</w:t>
      </w:r>
    </w:p>
    <w:p>
      <w:r>
        <w:t>Le litige entre les parties est survenu à l'occasion d'une décision rendue dans le cadre de la délivrance du permis d'habiter. a) Les art. 128 et 129 LATC ont la teneur suivante: "Art. 128 Permis d'habiter ou d'utiliser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2 La municipalité statue dans le délai de quinze jours dès le dépôt de la demande de permis. 3 Le permis ne comporte pas, pour les entreprises industrielles et celles, non industrielles, présentant des risques importants au sens de la législation fédérale sur le travail, le droit d'exploiter. Art. 129 Conditions d'octroi du permis d'habiter ou d'utiliser Le règlement cantonal fixe les conditions auxquelles doit répondre une construction pour bénéficier d'un permis d'habiter ou d'utiliser." Les conditions de délivrance du permis d'habiter sont définies positivement à l'art. 128 al. 1 LATC dont il ressort qu'il s'agit de vérifier que l'autorisation de construire, dont le contenu dépend à la fois des plans mis à l'enquête (p. ex. AC.2011.0270 du 31 mai 2012) et des éventuelles conditions figurant dans le permis de construire, a été respectée. L'art. 129 LATC paraît en revanche ouvrir la porte à de nouvelles exigences qui seraient introduites par la voix du règlement auquel se réfère cette disposition. A cet égard, l'art. 79 RLATC prévoit ce qui suit : Art. 79 Permis d'habiter ou d'utiliser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Selon la jurisprudence, le permis d'habiter est uniquement destiné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(pour un cas récent AC.2009.0008 du 15 mai 2009). Il ne s'agit pas de vérifier une nouvelle fois si les dispositions réglementaires ont été respectées, cet examen ayant déjà eu lieu lors de la délivrance du permis de construire. b) Il est vrai qu'on pourrait tirer la conclusion contraire de l'art. 79 let. a RLATC qui subordonne la délivrance du permis au respect des "conditions fixées par la loi et les règlements". Si l'on devait, contrairement au résultat de l'analyse effectuée plus haut, considérer que la norme SIA litigieuse a d'emblée force obligatoire, se poserait la question de savoir si l'autorité peut imposer le respect de la norme litigieuse sur des points qui n'auraient fait l'objet d'aucune condition ou charge dans le permis de construire. Cela paraît douteux car cela reviendrait à remettre en cause le permis de construire entré en force. On pourrait tout au plus concevoir qu'un intérêt public prépondérant, provenant par exemple de ce que la construction réalisée présenterait de manière imprévisible un danger majeur, justifie un réexamen (art. 64 LPA-VD) de la décision relative au permis de construire. La question peut cependant rester indécise. En effet, la situation de la présente cause a ceci de particulier que dans un premier temps, l'autorité communale a procédé à une visite des lieux après l'achèvement des travaux, le 30 octobre 2009, puis soumis à la signature des recourants, conformément à la norme SIA en vigueur époque, une "dérogation garde corps" destiné à attester de l'accord du propriétaire quant à l'existence d'une dérogation. Alors qu'elle était tenue de statuer dans le délai de 15 jours dès le dépôt de la demande de permis d'habiter (art. 128 al. 2 LATC), l'autorité communale a statué le 28 juin 2010 en prenant en compte, conformément à la conception du renvoi dynamique qui paraît être la sienne, une version de la norme SIA litigieuse qui avait été modifiée dans l'intervalle avec effet au 1er mars 2010. Il en résulte que pour l'autorité communale, la norme SIA litigieuse, qui émane d'une organisation privée, ferait l'objet non pas d'un renvoi statique à l'état de cette norme à un moment donné, mais d'un renvoi dynamique en vertu duquel toute modification de la norme privée provoquerait automatiquement une modification du contenu du droit communal ou cantonal. Ce point de vue n'est pas admissible. En effet, le Tribunal fédéral a jugé, s'agissant des clauses d'un règlement communal qui renvoient à des normes d'organismes privés, que si le renvoi statique ne soulevait pas de difficulté du point de vue de l'ordre constitutionnel, le renvoi dynamique en revanche constituait une délégation du pouvoir législatif à l'organisation privée et n'était admissible que si une délégation de ce genre était prévue par une disposition spécifique de la constitution cantonale (ATF 136 I 316 consid. 2.4 pp. 319 ss). On observe d'ailleurs qu'en matière de protection contre les incendies, le règlement du 14 septembre 2005 concernant les prescriptions sur la prévention des incendies (RPPI; RSV 963.11.2) ne procède précisément pas à un renvoi dynamique aux normes de l'Association des établissements cantonaux d'assurance incendie, mais indique expressément, en précisant la date déterminante, à quelle version de ces textes il confère force obligatoire. c) Il en résulte qu'à supposer que la norme SIA fasse l'objet d'un renvoi qui la rendrait obligatoire, il est certain en tout cas qu'aucune disposition légale spécifique ne permet de conférer force légale à chacune des versions successives de cette norme au fur et à mesure qu'elle subit des modifications. Par conséquent, pour le motif en tout cas qu'elle se réfère à une version nouvelle de cette norme à laquelle aucune disposition légale ne confère force obligatoire, la décision attaquée doit être annulée.</w:t>
      </w:r>
    </w:p>
    <w:p>
      <w:r>
        <w:rPr>
          <w:b/>
        </w:rPr>
        <w:t>E. 5</w:t>
      </w:r>
    </w:p>
    <w:p>
      <w:r>
        <w:t>Vu ce qui précède, le recours est admis et la décision attaquée doit être annulée. L'arrêt est rendu sans frais.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