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AC.2010.0217 vom 11. April 2011</w:t>
      </w:r>
    </w:p>
    <w:p>
      <w:r>
        <w:t>VD Tribunal cantonal, 2011-04-11, FR</w:t>
      </w:r>
    </w:p>
    <w:p>
      <w:r>
        <w:rPr>
          <w:b/>
        </w:rPr>
        <w:t xml:space="preserve">Quelle: </w:t>
      </w:r>
      <w:r>
        <w:t>https://mcp.opencaselaw.ch/entscheid/vd_omni_AC.2010.0217</w:t>
      </w:r>
    </w:p>
    <w:p>
      <w:r>
        <w:t>FR: VD_OMNI AC.2010.0217 du 11 avril 2011</w:t>
      </w:r>
    </w:p>
    <w:p>
      <w:r>
        <w:t>IT: VD_OMNI AC.2010.0217 del 11 aprile 2011</w:t>
      </w:r>
    </w:p>
    <w:p>
      <w:pPr>
        <w:pStyle w:val="Heading2"/>
      </w:pPr>
      <w:r>
        <w:t>Regeste</w:t>
      </w:r>
    </w:p>
    <w:p>
      <w:r>
        <w:t>MAZUR/Municipalité de Blonay, Service du développement territorial, Service des forêts, de la faune et de la nature | Lorsque les possibilités d'agrandissement ont été épuisées, ne sont pas admis des travaux d'aménagement extérieurs qui modifient la nature du terrain et accentuent le caractère résidentiel d'un secteur sis hors de la zone à bâtir (consid. 2 et 3).</w:t>
      </w:r>
    </w:p>
    <w:p>
      <w:pPr>
        <w:pStyle w:val="Heading2"/>
      </w:pPr>
      <w:r>
        <w:t>Erwägungen</w:t>
      </w:r>
    </w:p>
    <w:p>
      <w:r>
        <w:rPr>
          <w:b/>
        </w:rPr>
        <w:t>E. 1</w:t>
      </w:r>
    </w:p>
    <w:p>
      <w:r>
        <w:t>a) L'art. 103 al. 1, 1 ère phrase, de la loi du 4 décembre 1985 sur l'aménagement du territoire et les constructions (LATC; RSV 700.11) prévoit qu'aucun travail de construction ou de démolition en surface ou en sous-sol, modifiant de façon sensible la configuration, l'apparence ou l'affectation d'un terrain ou d'un bâtiment, ne peut être exécuté avant d'avoir été autorisé. Selon les art. 25 al. 2 de la loi fédérale du 22 juin 1979 sur l'aménagement du territoire (LAT; RS 700) et 81 al. 1, 1 ère phrase, LATC, seul le département peut décider si des travaux de construction hors de la zone à bâtir sont conformes à la zone ou si une dérogation peut être accordée. L'art. 120 al. 1 let. a LATC prévoit expressément que les constructions hors des zones à bâtir ne peuvent être construites, reconstruites, agrandies, transformées ou modifiées dans leur destination, sans autorisation spéciale, l'autorité compétente étant le département (art. 121 let. a LATC), respectivement le SDT. A ce stade, comme l’a confirmé le représentant du SDT lors de l’audience du 9 mars 2011, le refus d’autorisation pour des travaux hors de la zone à bâtir constitue le prélude à une décision de remise en état qui sera rendue ultérieurement, et dans le cadre de laquelle le SDT prendra en compte le principe de la proportionnalité. b) Par rapport à l’état de fait qui a donné lieu au prononcé de la décision attaquée, la situation s’est modifiée dans l’intervalle. La recourante a renoncé aux piliers qui devaient soutenir un portail; ce projet d’ouvrage a été abandonné. De même, les deux abris à poneys ont été remplacés par le cabanon qui a fait l’objet de la décision du SDT du 28 septembre 2010. Lors de l’audience du 9 mars 2011, le représentant du SDT a admis que les aménagements extérieurs nécessaires à la garde des animaux (notamment une clôture extérieure) devraient être autorisés. Seuls restent litigieux les terrasses en caillebotis, le chemin dallé, les places de stationnement engazonnées, ainsi que les enrochements et plate-bandes réalisés. c) Les travaux litigieux portent sur des terrassements, la création de murs de soutènement et la réalisation d’aménagements extérieurs modifiant la nature du sol; ils sont partant soumis à autorisation (cf. en dernier lieu arrêts AC.2009.0203 du 9 novembre 2010; AC.2008.0114 du 23 avril 2009;  AC.2006.0244 du 25 juillet 2007; la recourante se réfère à l’arrêt AC.2003.0152 du 14 avril 2004, mais celui-ci a été annulé par le Tribunal fédéral; ATF 1A.156/2004 du 5 novembre 2004).</w:t>
      </w:r>
    </w:p>
    <w:p>
      <w:r>
        <w:rPr>
          <w:b/>
        </w:rPr>
        <w:t>E. 2</w:t>
      </w:r>
    </w:p>
    <w:p>
      <w:r>
        <w:t>, les agrandissements effectués à l’intérieur du volume bâti existant comptant pour moitié (let. b). Lorsque plusieurs transformations sont réparties dans le temps, le calcul se base sur l’état (conforme au droit) de la construction au moment de l’entrée en vigueur de la modification de la loi ou du plan d’affectation, à savoir en principe le 1 er juillet 1972. Toutes les modifications touchant un même objet sont considérées comme formant un tout et sont comparées à la norme de l’agrandissement maximal autorisé (arrêt AC.2008.0068, précité, consid. 3c). c) En 2004, en vue de l’agrandissement du bâtiment n°1760, le SDT a accordé l’autorisation spéciale pour les constructions hors de la zone à bâtir, en application de l’art. 42 al.</w:t>
      </w:r>
    </w:p>
    <w:p>
      <w:r>
        <w:rPr>
          <w:b/>
        </w:rPr>
        <w:t>E. 3</w:t>
      </w:r>
    </w:p>
    <w:p>
      <w:r>
        <w:t>Il reste à trancher le point de savoir si les travaux litigieux modifient l’identité de la construction et de ses abords. a) Sur le vu des constatations faites lors de l’audience du 9 mars 2011, les aménagements réalisés par la recourante dépassent ce qui peut être permis. Les enrochements ont modifié l’aspect du terrain et accentué les possibilités d’utilisation des abords du bâtiment n°1760 comme terrasse naturelle. Il en va de même du chemin dallé et des places de stationnement engazonné, ainsi que des plates-bandes et de la clôture en bois créée autour des anciens abris à poneys. Ces travaux transforment les abords de la maison, pour en faire une sorte de jardin, ce qui accentue le caractère résidentiel d’un secteur pourtant sis hors de la zone à bâtir. A ce propos, le Tribunal a constaté que l’on se trouve dans un secteur largement bâti, à l’origine réservée à des chalets utilisés comme résidences secondaires et qui ont été progressivement habités à l’année. La Municipalité a confirmé son intention de réviser le plan d’affectation communal, notamment pour ce qui concerne le secteur de Lally; il s’agit là toutefois d’une perspective encore assez éloignée, retardée par l’absence d’accord entre les propriétaires sur les grandes lignes de la planification à adopter. Dans l’intervalle, les règles strictes régissant les terrains sis hors de la zone à bâtir continuent de s’appliquer. b) La recourante fait valoir que la terrasse en caillebotis aurait été autorisée en 2004. Dans le dossier (cf. synthèse CAMAC n°62815) ne figure toutefois aucun plan des aménagements extérieurs dont la réalisation aurait été demandée.</w:t>
      </w:r>
    </w:p>
    <w:p>
      <w:r>
        <w:rPr>
          <w:b/>
        </w:rPr>
        <w:t>E. 4</w:t>
      </w:r>
    </w:p>
    <w:p>
      <w:r>
        <w:t>Le recours doit ainsi être rejeté et la décision attaquée confirmée. Les frais sont mis à la charge de la recourante (art. 49 de la loi du 28 octobre 2008 sur la procédure administrative – LPA-VD, RSV 173.36). Il n’y a pas lieu d’allouer des dépens en faveur de la Municipalité de Blonay, qui s’en est remise à justice. En l’occurrence, l’allocation de dépens en faveur de l’Etat n’entre pas en ligne de compte (art. 52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