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AC.2010.0207 vom 12. Juli 2011</w:t>
      </w:r>
    </w:p>
    <w:p>
      <w:r>
        <w:t>VD Tribunal cantonal, 2011-07-12, FR</w:t>
      </w:r>
    </w:p>
    <w:p>
      <w:r>
        <w:rPr>
          <w:b/>
        </w:rPr>
        <w:t xml:space="preserve">Quelle: </w:t>
      </w:r>
      <w:r>
        <w:t>https://mcp.opencaselaw.ch/entscheid/vd_omni_AC.2010.0207</w:t>
      </w:r>
    </w:p>
    <w:p>
      <w:r>
        <w:t>FR: VD_OMNI AC.2010.0207 du 12 juillet 2011</w:t>
      </w:r>
    </w:p>
    <w:p>
      <w:r>
        <w:t>IT: VD_OMNI AC.2010.0207 del 12 luglio 2011</w:t>
      </w:r>
    </w:p>
    <w:p>
      <w:pPr>
        <w:pStyle w:val="Heading2"/>
      </w:pPr>
      <w:r>
        <w:t>Regeste</w:t>
      </w:r>
    </w:p>
    <w:p>
      <w:r>
        <w:t>SCHLUNEGGER c/Municipalité de St-Sulpice, BOULART, DE RHAM | Esthétique: dans le cadre des critères d'intégration plus sévères résultant d'une zone à protéger au sens de l'art. 17 LAT, l'autorité communale ne bénéficie pas de la même marge d'appréciation que celle résultant de la clause d'esthétique de l'art. 86 LATC, car les impératifs de protection s'imposent de manière plus précise et détaillée. En l'espèce, la municipalité n'a pas excédé son pouvoir d'appréciation en considérant que l'implantation en domino de trois villas identiques ne tenait pas compte des caractéristiques du site remarquable de l'Abbaye et du Prieuré de St-Sulpice (consid. 2)</w:t>
      </w:r>
    </w:p>
    <w:p>
      <w:pPr>
        <w:pStyle w:val="Heading2"/>
      </w:pPr>
      <w:r>
        <w:t>Erwägungen</w:t>
      </w:r>
    </w:p>
    <w:p>
      <w:r>
        <w:rPr>
          <w:b/>
        </w:rPr>
        <w:t>E. 1</w:t>
      </w:r>
    </w:p>
    <w:p>
      <w:r>
        <w:t>La municipalité soutient que le règlement du plan partiel d’affectation limiterait dans l’aire de construction du secteur ouest le nombre de bâtiments par parcelle. Elle estime en substance qu’il ne pourrait être construit qu’un seul bâtiment par parcelle et que chaque parcelle devrait avoir une surface de 2'500 m</w:t>
      </w:r>
    </w:p>
    <w:p>
      <w:r>
        <w:rPr>
          <w:b/>
        </w:rPr>
        <w:t>E. 2</w:t>
      </w:r>
    </w:p>
    <w:p>
      <w:r>
        <w:t>La municipalité a refusé le permis de construire pour des motifs ayant trait à l’esthétique et à l’intégration des constructions dans le site en invoquant l’art. 86 LATC et les art. 4.1 et 6.1 RPPA. Le recourant fait grief à l'autorité intimée de reprocher au projet litigieux sa mauvaise implantation ainsi que son manque d'esthétique entraînant une mauvaise intégration à l'environnement construit. Le recourant relève aussi la contradiction entre la position de la municipalité et les contacts préalables à l’ouverture de l’enquête. Il relève en particulier la position de la municipalité dans une lettre du 10 septembre 2009 exprimée dans les termes suivants : "La Municipalité tient finalement à relever tout de même que l’architecture proposée (aspect extérieur) pour les trois villas est séduisante et se situe dans l’esprit du plan d’affectation Le Coteau". a) Comme l'a rappelé le tribunal dans l'arrêt AC.2005.0048 du 8 février 2006, le plan partiel d'affectation "Le Coteau" répond aussi à la définition des zones à protéger au sens de l'art. 17 al. 1 let. c de la loi fédérale du 22 juin 1979 sur l'aménagement du territoire (LAT; RS 700) . Le règlement du plan prévoit d’ailleurs des exigences spécifiques d’intégration. Il s’agit des dispositions traitant d'une part de la protection accrue du site et d'autre part de l'esthétique des constructions. L'art. 1.1 RPPA, relatif aux buts du plan, prévoit ce qui suit : Le présent plan partiel d'affectation (PPA) est établi pour répondre à certains objectifs du PLAN DIRECTEUR COMMUNAL. Il est conçu notamment pour: -        confirmer, à l'échelle locale, les mesures de protection et d'aménagement qui s'appliquent aux niveaux cantonal et fédéral à cette partie du territoire communal - assurer le dégagement et la mise en valeur des bâtiments historiques de l'Abbaye, du front aval du centre de Saint-Sulpice et des rives du lac - (…) -        conserver les caractéristiques du paysage du coteau où prédominent les espaces verts avec de nombreux arbres et massifs boisés -        rendre compatibles les bâtiments existants ou potentiellement réalisables avec les mesures d'aménagement prévues et l'arborisation existante. L'art. 4.1 RPPA, traitant des principes d'implantation des constructions, dispose ce qui suit : La situation et l'orientation d'une construction nouvelle sont choisies en tenant compte des caractéristiques du lieu, de la configuration du terrain et de l'implantation des bâtiments existants à proximité. Pour des raisons d'unité ou d'harmonie ou pour tenir compte d'un état futur projeté, la situation d'un bâtiment tant en ce qui concerne son implantation que les altitudes à respecter en périphérie peut être imposée au propriétaire d'une construction projetée. En ce qui concerne les principes d'architecture, l'art. 6.1 RPPA prévoit que : D'une façon générale, la Municipalité s'applique à promouvoir une architecture réputée de bonne qualité. Lors d'une construction nouvelle ou lors de transformations ou d'agrandissements, la forme du bâtiment ou la nature de l'ouvrage est conçue de manière à inscrire de façon harmonieuse la réalisation dans le cadre où elle s'insère. Dans les aires de construction, les bâtiments ainsi que toutes autres réalisations doivent être conçus de manière à respecter le cadre historique dans lequel ils sont implantés. Le Service des bâtiments de l'Etat de Vaud, section monuments et sites, est habilité à imposer toute mesure propre à atteindre cet objectif. Les constructions ou parties de constructions qui, par leur forme, leur volume, leurs proportions, les matériaux utilisés ou, d'une façon générale, leur architecture compromettent l'harmonie des lieux ou l'homogénéité de l'ensemble ne sont pas admises. Ces dispositions ont une portée distincte de celle de la clause générale d'esthétique en ce sens qu'elles posent des exigences spécifiques accrues d'intégration des nouveaux bâtiments; ces règles font partie des mesures que les communes ont la compétence d'édicter dans leur plan d'affectation pour les paysages, les sites, les localités et les ensembles méritant protection au sens de l'art. 47 al. 2 ch. 2 LATC conformément à l'art. 17 al. 1 let. c LAT (arrêt AC.2004.0204 du 21 décembre 2004). b ) S’agissant d’apprécier les qualités d’intégration d’un projet de construction, le Tribunal fédéral reconnaît aux collectivités locales un large pouvoir d’appréciation (ATF 115 Ia 370 consid.</w:t>
      </w:r>
    </w:p>
    <w:p>
      <w:r>
        <w:rPr>
          <w:b/>
        </w:rPr>
        <w:t>E. 3</w:t>
      </w:r>
    </w:p>
    <w:p>
      <w:r>
        <w:t>La municipalité a aussi refusé le permis de construire en raison du fait que le projet d’implantation prévoit un seul accès par le sud, le long du tronçon ouest du chemin du Crêt. La municipalité estime que le projet devrait prévoir un accès par le nord pour les villas qu’il serait prévu de construire en amont à défaut de quoi, le tronçon ouest du chemin du Crêt ne présenterait pas les caractéristiques suffisantes pour absorber le trafic que pourraient générer les trois villas. Le recourant conteste la nécessité d’exiger un accès par le nord conjointement à un accès par le sud. a) L'art. 8.2 RPPA prévoit que "les voies d'accès mentionnées sur le plan constituent un principe de desserte des surfaces urbanisées ou urbanisables qu'il convient de respecter. Le tracé de ces voies est cependant indicatif et l'obtention des droits de passage nécessaires demeure réservée". Le PPA mentionne pour la parcelle litigieuse deux accès, par le nord et par le sud. Toutefois, la réglementation communale n’impose pas expressément la réalisation de ces deux accès pour la parcelle n° 53. Les parties ont produit différentes études qui montrent que l’accès par le nord à la parcelle n° 53 pose plusieurs problèmes liés à la pente du terrain, à la présence du pavillon Vallotton répertorié comme bâtiment à conserver, et à la nécessité d’empiéter légèrement sur la parcelle voisine n° 54. Par ailleurs, le recourant a produit une étude du bureau CERT-ARAGAO de février 2010, qui a pour objet de démontrer que l’accès par le sud est conforme aux normes de l’Association suisse des professionnels de la route (VSS). b) Vu le sort du recours, cette question peut demeurer indécise. Il convient néanmoins de relever qu'un accès à la parcelle n° 53 par le nord devrait aussi permettre de desservir les parcelles voisines à l’est, soit la parcelle n o 671, qui bénéficie aussi d’une possibilité d’accès par le sud, ainsi que la parcelle n o 1'256, pour laquelle le plan ne prévoit pas d’autres possibilités d’accès, ni par le sud, ni par l’est. Cette situation résulte probablement du fait que l’ancienne parcelle n o 671, qui a été divisée depuis l’adoption du plan par la création de la nouvelle parcelle n o 1'256, bénéficiait directement des accès prévus par le PPA au sud et au nord. Ainsi, il se pose la question de savoir si l’aménagement de la parcelle n° 53 ne doit pas tenir compte de la possibilité de créer un accès par le nord pour desservir les parcelles n os 671 et 1'256, conformément aux principes d’accès à respecter selon le PPA et son règlement. L’art. 4.1 al. 2 RPPA prévoit en effet que pour tenir compte d’un état futur projeté, la situation d’un bâtiment, tant en ce qui concerne son implantation que les altitudes à respecter en périphérie, peut être imposée au propriétaire d’une construction projetée. En d’autres termes, la municipalité peut imposer une implantation du bâtiment nord et de ses aménagements qui permette la réalisation ultérieure d’un accès destiné à desservir les parcelles n os 671 et 1246. Or, la coupe A du projet montre que la présence d’un mur de soutènement au nord de la parcelle n° 53, rendrait impossible ou très difficile un accès futur aux parcelles adjacentes à l’est (n os 671 et 1'256). En outre, si la présence du "pavillon Vallotton", protégé par le PPA, rend l'accès par le nord difficile, il ressort du compte-rendu d'audience que l'autorité intimée serait prête à étudier l'abandon de la protection de celui-ci par une modification du PPA, sous réserve de la décision du conseil communal. Un déplacement du pavillon serait également envisageable, déplacement qui serait soumis à l'accord préalable du Département des infrastructures, conformément à l'art. 6.2 RPPA. c) En ce qui concerne l’accès prévu au garage central, l'art. 53 al. 2 RPGA prévoit que les constructions souterraines entièrement sous le niveau du profil du terrain naturel ne comptent pas dans le potentiel constructible mais doivent respecter une distance aux voisins de 4 m au minimum à l'exception des accès non couverts. Or, il ressort des plans mis à l'enquête publique, que la partie souterraine de l'accès au garage présente une distance de 2 m à la parcelle voisine n° 671. Le tribunal constate que le projet n'est pas conforme au règlement communal sur ce point également. On relève encore que dans le cas d'un morcellement de la parcelle selon le projet de fractionnement produit par le recourant lors de l'audience, la distance prescrite par l'art. 53 al. 2 RPGA ne serait également pas respectée par le garage souterrain dans son ensemble, puisque celui-ci s'étend sur toute la surface comprise entre les trois villas et se situerait à cheval sur les limites entre les trois parcelles.</w:t>
      </w:r>
    </w:p>
    <w:p>
      <w:r>
        <w:rPr>
          <w:b/>
        </w:rPr>
        <w:t>E. 4</w:t>
      </w:r>
    </w:p>
    <w:p>
      <w:r>
        <w:t>Il résulte de ce qui précède que le recours doit être rejeté et la décision attaquée confirmée. Le recourant, qui succombe, doit supporter les frais de justice ainsi qu'une indemnité à titre de dépens en faveur de la municipalité et des parties opposantes (art. 49, 55, 91 et 99 de la loi du 28 octobre 2008 sur la procédure administrative, LPA-VD; RSV 173.36). La jurisprudence du tribunal a en effet posé le principe suivant : lorsque la procédure met en présence, outre le recourant et l'autorité intimée, une ou plusieurs autres parties dont les intérêts sont opposés à ceux du recourant, c'est en principe à la partie adverse de supporter les frais et dépens (RDAF 1994 p. 324).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