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AC.2010.0200 vom 31. März 2011</w:t>
      </w:r>
    </w:p>
    <w:p>
      <w:r>
        <w:t>VD Tribunal cantonal, 2011-03-31, FR</w:t>
      </w:r>
    </w:p>
    <w:p>
      <w:r>
        <w:rPr>
          <w:b/>
        </w:rPr>
        <w:t xml:space="preserve">Quelle: </w:t>
      </w:r>
      <w:r>
        <w:t>https://mcp.opencaselaw.ch/entscheid/vd_omni_AC.2010.0200</w:t>
      </w:r>
    </w:p>
    <w:p>
      <w:r>
        <w:t>FR: VD_OMNI AC.2010.0200 du 31 mars 2011</w:t>
      </w:r>
    </w:p>
    <w:p>
      <w:r>
        <w:t>IT: VD_OMNI AC.2010.0200 del 31 marzo 2011</w:t>
      </w:r>
    </w:p>
    <w:p>
      <w:pPr>
        <w:pStyle w:val="Heading2"/>
      </w:pPr>
      <w:r>
        <w:t>Regeste</w:t>
      </w:r>
    </w:p>
    <w:p>
      <w:r>
        <w:t>BESUCHET, FERRARI/Municipalité de Vufflens-le-Château, Service Immeubles, Patrimoine et Logistique, VUFFRAY | Confirmation du permis de construire sous l'angle de l'intégration au site (Château de Vufflens), des percements en toiture, du nombre de places de parc (certaines sur une parcelle voisine). Les voisins ne sont pas habilités à critiquer une terrasse qu'ils ne voient pas.</w:t>
      </w:r>
    </w:p>
    <w:p>
      <w:pPr>
        <w:pStyle w:val="Heading2"/>
      </w:pPr>
      <w:r>
        <w:t>Erwägungen</w:t>
      </w:r>
    </w:p>
    <w:p>
      <w:r>
        <w:rPr>
          <w:b/>
        </w:rPr>
        <w:t>E. 1</w:t>
      </w:r>
    </w:p>
    <w:p>
      <w:r>
        <w:t>Le projet litigieux a subi de nombreuses modifications, y compris après l'enquête publique. Les plans que le tribunal doit examiner sont les plans modifiés du 3 mars 2010. Le plan dressé pour enquête, qui a été à nouveau soumis au géomètre après  les modifications du 3 mars 2010, a conservé par erreur la date du 4 novembre 2009. En audience, les représentantes de la municipalité ont indiqué que le permis de construire n'avait pas encore été établi, contrairement à ce que la décision attaquée laisse supposer en indiquant que le permis de construire était délivré.</w:t>
      </w:r>
    </w:p>
    <w:p>
      <w:r>
        <w:rPr>
          <w:b/>
        </w:rPr>
        <w:t>E. 2</w:t>
      </w:r>
    </w:p>
    <w:p>
      <w:r>
        <w:t>Le recours est dirigé tant contre la décision municipale du 2 juin 2010 que contre le "préavis" du SIPAL contenu dans la synthèse CAMAC du 13 avril 2010. Or, le "préavis en question" n'est pas l'autorisation spéciale prévue aux art. 23 et 54 de la loi sur la protection de la nature, des monuments et des sites du 10 décembre 1969 (LPNMS; RSV 450.11). Il ne s'agit donc pas d'une décision susceptible d'être entreprise par les voisines.</w:t>
      </w:r>
    </w:p>
    <w:p>
      <w:r>
        <w:rPr>
          <w:b/>
        </w:rPr>
        <w:t>E. 3</w:t>
      </w:r>
    </w:p>
    <w:p>
      <w:r>
        <w:t>Le principal reproche adressé par les recourantes au projet a trait à son absence d'intégration au site. a) Aux termes de l’art. 86 de la loi sur l'aménagement du territoire et des constructions du 4 décembre 1985 (LATC; RSV 700.11),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C'est l'art. 45 RPAPC qui traite de l'esthétique des constructions dans la commune. Il prévoit ce qui suit : "La Municipalité est en droit de refuser le permis de construire pour tout projet de nature à nuire à l'aspect ou au caractère d'un site ou d'un quartier, ou qui ne serait pas en harmonie avec les constructions avoisinantes." Selon la jurisprudence, il incombe au premier chef aux autorités communales de veiller à l'aspect architectural des constructions; elles disposent à cet égard d'un large pouvoir d'appréciation (ATF 115 Ia 114 consid. 3d, 363 consid. 3b). Dans ce cadre, l'autorité doit prendre garde à ce que la clause d'esthétique ne vide pas pratiquement de sa substance la réglementation de la zone en vigueur (ATF 115 Ia 114; 114 Ia 345; arrêts AC.2002.0195 du 17 février 2006; AC.2004.0102 du 6 avril 2005). Une intervention de l'autorité de recours sur la base de l'art. 86 LATC ne peut en effet s'inscrire que dans la ligne tracée par la loi elle-même et par les règlements communaux,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arrêts AC.2002.0195, AC.2004.0102, précités). Il faut alors que l'utilisation des possibilités de construire réglementaires apparaisse déraisonnable et irrationnelle (ATF 115 Ia 114; 114 Ia 345; 101 Ia 213 consid, 6c; arrêts AC.2002.0195, AC.2004.0102, précités).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LPA-VD ; cf. arrêts AC.2008.0206 du 30 décembre 2008, AC.2006.0097 du 13 mars 2007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(voir pour des exemples récents,  AC.2010.00017 du 11 août 2010, AC.2008.0258 du 19 août 2009, AC.2008.0165 du 26 janvier 2009, AC.2008.0206 du 31 décembre 2008 et les références citées). b) En l'espèce, les recourantes estiment que, dans l'appréciation du projet, les autorités n'ont pas tenu suffisamment compte du fait que la construction projetée doit prendre place dans un site d'importance nationale selon l'ISOS, non loin d'un château du XVème siècle et au sein d'un hameau d'essence rurale. Les recourantes jugent que le projet "slalome entre faux vieux et modernisme" et critiquent les ouvertures monotones et stéréotypées visibles sur les façades est, nord et ouest, le remplacement de volets traditionnels par des volets coulissants, la pente du toit trop forte, le traitement de la partie supérieure de la façade-pignon Nord et celui du pignon Sud. Les recourantes ajoutent qu'à force de vouloir "coincer" une construction sur une aussi petite surface, à la forme aussi curieuse, on en vient à bafouer l'esprit du lieu, la protection accordée au château, l'intégration dans le site et les voisins. Dans le même esprit, les recourantes reprochent aux constructeurs d'avoir tiré un parti abusif des dispositions réglementaires qui leur étaient offertes. La municipalité est d'avis que le projet n'est pas courant mais que la forme trapézoïdale du bâtiment ainsi que son architecture respectent les normes de la zone à bâtir dans laquelle le projet est prévu. En définitive, le projet ne constitue pas un manque flagrant d'intégration. Quant au SIPAL, il est d'avis que les modifications apportées le 3 mars 2010 par l'architecte des constructeurs satisfont aux exigences d'intégration au site, sous réserve du traitement de la terrasse ouest, des matériaux et des couleurs de l'enveloppe que l'architecte doit encore illustrer. La construction souhaitée par les constructeurs doit répondre tant aux impératifs de préservation de la qualité d'un site répertorié à l'ISOS comme d'importance nationale qu'à ceux imposés par la réglementation communale en matière de construction. Elle doit le faire à l'intérieur d'un périmètre de construction irrégulier situé dans la zone de l'ancien village à la limite de la zone agricole sans oublier que le terrain constructible se trouve orienté au nord dans une pente importante. Du point de vue de la clause de l'esthétique, le projet doit être apprécié dans sa globalité, compte tenu de l'ensemble des impératifs susrappelés. La forme du bâtiment est dictée par la forme particulière de la surface constructible de la parcelle. Il n'est pas contesté que le volume respecte la réglementation communale. Les recourantes critiquent les ouvertures en façades, le traitement des façades pignon et le choix de volets coulissants. Or, ces choix ne heurtent pas, d'autant moins que les constructions avoisinantes à la faveur de créations ou de rénovations plus ou moins récentes possèdent elles aussi de nombreuses ouvertures – à commencer par celle des recourantes. L'étude des plans a permis de se rendre compte que le traitement des façades serait relativement simple et que le projet ne nuirait pas à l'aspect rural du lieu mais s'intégrerait aux immeubles voisins et au site vus en inspection locale. Il est vrai que le toit du projet est très pentu. Or, la réglementation communale impose le respect d'une pente minimale de 30° (art. 10 al. 1 RPAPC). Par ailleurs, le fait que les façades pignon soient étroites imposent un toit pentu. Quant aux critiques relatives à l'intégration au château présent sur le site, on objectera que la construction en est relativement éloignée et se trouve dans une position où son impact sera minimisé (le château est à peine perceptible depuis la parcelle litigieuse). En définitive, d'un point de vue objectif, la construction projetée apparaît comme une solution intéressante, dénuée d'excentricité, qui respecte les impératifs liés au respect de la réglementation communale et ceux de l'intégration au site sans en tirer un parti abusif. Partant, en autorisant le projet sous l'angle de l'esthétique, la commune n'a pas mésusé du pouvoir d'appréciation qui lui était conféré.</w:t>
      </w:r>
    </w:p>
    <w:p>
      <w:r>
        <w:rPr>
          <w:b/>
        </w:rPr>
        <w:t>E. 4</w:t>
      </w:r>
    </w:p>
    <w:p>
      <w:r>
        <w:t>Les recourantes se plaignent de l'absence de l'indication des bâtiments voisins, y compris du château, dans le dossier d'enquête, donc d'une violation de l'art. 13 RPAPC qui prévoit ce qui suit : "Sur les plans d'enquête, les bâtiments voisins de celui projeté ou pour lequel une modification est prévue seront indiqués en élévation de façon à rendre intelligible l'intégration de la nouvelle construction dans le site." Or, ce grief de nature purement formelle n'est pas fondé car lors de la séance de conciliation du 14 janvier 2010, ont été présentés des planches du projet en trois dimensions et en couleurs sur lesquelles les bâtiments voisins étaient représentés. Par ailleurs, les recourantes ont une excellente connaissance d'un lieu, où elles habitent. Dans ces conditions, elles sont en mesure de se représenter l'intégration de la nouvelle construction dans le site. On ne peut que partager l'avis des constructeurs, qui font observer que l'adjonction du bâtiment des recourantes ou du château en arrière-plan sur les documents d'enquête ne leur apporterait rien de plus qu'elles n'ont déjà vu jusque là.</w:t>
      </w:r>
    </w:p>
    <w:p>
      <w:r>
        <w:rPr>
          <w:b/>
        </w:rPr>
        <w:t>E. 5</w:t>
      </w:r>
    </w:p>
    <w:p>
      <w:r>
        <w:t>Conformément à l'art. 9 al. 1 RPAPC, le nombre de niveaux habitables est limité à deux sous la corniche et un dans les combles. Cette exigence est respectée dans le cas particulier. Le projet compte en effet deux étages sous les combles et un étage aménagé dans les combles, au-dessus de la corniche. D'après les explications fournies en audience, ce grief est à mettre en relation avec celui analysé au considérant suivant, relatif aux ouvertures en toiture : le fait d'habiter les combles entraînerait un nombre d'ouvertures disproportionné.</w:t>
      </w:r>
    </w:p>
    <w:p>
      <w:r>
        <w:rPr>
          <w:b/>
        </w:rPr>
        <w:t>E. 6</w:t>
      </w:r>
    </w:p>
    <w:p>
      <w:r>
        <w:t>Au sujet des ouvertures en toiture, l'art. 11 RPAPC dispose ce qui suit : "Partout où cela est réalisable, les combles doivent prendre jour sur les façades pignon. La Municipalité peut autoriser la réalisation de tabatières ou de lucarnes. Ces éléments ne doivent pas compromettre l'aspect de l'architecture du bâtiment. La largeur hors tout des lucarnes traditionnelles sera de 1,40 m. au maximum. Pour ce qui concerne les lucarnes entièrement vitrées, la largeur hors tout correspondra au vide des lucarnes traditionnelles. La tabatières auront des dimensions maximales de 0,78 x 1,4 m. Ces éléments devront être indépendants et une distance minimale égale à la largeur du plus petit est à observer entre deux ouvertures voisines. En principe, une distance minimale de 1,5 m. est à respecter entre chaque élément et les bords de toiture, le faîte et le chéneau sans interruption de la toiture. La superposition de lucarnes est interdite de même que la création de balcons encaissés dans la toiture. Exceptionnellement des dérogations de minime importance peuvent être accordées par la Municipalité pour la création de lanterneaux, éclairages faîtiers, ou superstructures destinées à des installations techniques, si ceux-ci sont bien intégrés. (…)". En l'espèce, les combles prennent jour sur les façades pignon ainsi qu'on peut le voir sur les plans des façades sud et nord. Vu la longueur du bâtiment et l'affectation des combles au logement, la nécessité de prévoir des ouvertures est avérée. Il est prévu dans chaque pan de toit trois lucarnes à deux pans de 80 x 100 cm et un vélux de 118 x 78 cm. A l'est, le vélux éclaire la salle de douche et à l'ouest l'escalier d'accès. Quant aux lucarnes, elles éclairent les pièces à vivre. On pourrait imaginer se passer des ouvertures sur les pièces de service, salle de douche et escaliers, mais il faut admettre que les vélux sont de petite taille, ce qui ne fera pas grande différence. Quoiqu'il en soit, globalement, la proportion de tuiles demeure largement prépondérante sur la surface réservée aux ouvertures de sorte que l'on ne saurait considérer que le nombre de jours prévus est disproportionné. C'est à juste titre que la municipalité a autorisé les lucarnes. Concernant les dimensions des ouvertures en toiture ensuite, on observera d'abord que leurs dimensions respectent les exigences posées à l'art. 11 al. 2 RPAPC. Les recourantes font valoir ensuite que la distance entre chaque ouverture et le bord de la toiture est inférieure à 1,5 m., ce qui contrevient à l'art. 11 al. 3 RPAPC. Il est admis par les constructeurs que cette distance de 1,5 m. n'est pas respectée. Ces derniers objectent qu'il est tout à fait possible de remonter les lucarnes, mais qu'il sera beaucoup moins confortable pour l'utilisateur d'ouvrir une fenêtre qui serait par hypothèse réhaussée de quelques dizaines de centimètres. Quoiqu'il en soit, l'art. 11 al. 3 RPAPC prévoit qu'"en principe", une distance minimale de 1,5 m. doit être respectée. Cela implique que des dérogations sont possibles, comme pour le cas d'espèce. En conclusion, le projet ne cherche pas à tirer un profit maximum des possibilités réglementaires mais s'adapte aux particularités du cas d'espèce : la pente du terrain a contraint les constructeurs à prévoir un rez inférieur partiellement enterré, ce qui a pour incidence une disposition des pièces à vivre en hauteur, notamment dans l'étage sous les combles et il est nécessaire, pour des motifs sanitaires, que ces pièces soient éclairées par une lumière naturelle. Les griefs des recourantes en relation avec les ouvertures en toiture doivent être en fin de compte rejetés.</w:t>
      </w:r>
    </w:p>
    <w:p>
      <w:r>
        <w:rPr>
          <w:b/>
        </w:rPr>
        <w:t>E. 7</w:t>
      </w:r>
    </w:p>
    <w:p>
      <w:r>
        <w:t>S'agissant du nombre de places de parc, il n'est pas contesté qu'il en faut cinq, conformément à l'art. 42 RPAPC. Deux places sont prévues sur place sous couvert au sud de la construction et trois autres sur la parcelle n° 93 située à quelques dizaines de mètres de là le long du chemin du Curbit. La décision municipale qui parle de deux places de parc sur la parcelle n° 93 comporte à cet égard une erreur qu'il convient de rectifier. La constitution d'une servitude de places de parc est une condition posée à la délivrance du permis de construire ainsi que les représentantes de l'autorité intimée l'ont confirmé à l'audience. Dans ces conditions, il n'y a pas de raison de penser que les places de parc ne sont pas mises à disposition en nombre suffisant pour la nouvelle construction.</w:t>
      </w:r>
    </w:p>
    <w:p>
      <w:r>
        <w:rPr>
          <w:b/>
        </w:rPr>
        <w:t>E. 8</w:t>
      </w:r>
    </w:p>
    <w:p>
      <w:r>
        <w:t>En audience, les recourantes ont cherché, au moyen d'exemples documentés, à démontrer que les panneaux solaires prévus sur le toit de la construction nuisent à la qualité du site et que dans d'autres cas le SIPAL avait empêché leur pose sur des toits situés non loin d'un monument historique. Les recourantes se demandent pourquoi le SIPAL a adopté dans les cas cités des positions si rigoureuses et se montre si "laxiste" dans le cas présent. La représentante du SIPAL a expliqué que le souci du service était de réduire la visibilité des capteurs solaires. Ici le but est atteint dans la mesure où les capteurs, situés à l'arrière du hameau, ne sont visibles de quasiment nulle part. Le château est en position dominante par rapport au projet, de sorte que l'on ne saurait considérer qu'il découle du projet une concurrence avec le monument historique. Si les capteurs avaient été posés du côté de la rivière Morges, le raisonnement aurait été différent. Enfin, la représentante du SIPAL a souligné qu'il fallait distinguer les situations où comme en l'espèce on construit un bâtiment neuf des situations où l'on ajoute des panneaux solaires sur un bâtiment déjà existant. L'appréciation de la question de l'intégration au site ne saurait en effet avoir pour effet d'empêcher tout nouveau projet et la réalisation des buts d'autres législations, ici la législation en matière d'énergie. En l'occurrence, les capteurs solaires litigieux ont une surface minimale (de 4 m2) pour répondre aux exigences de la législation sur l'énergie. Ils seront très peu visibles sur le site. Leur impact est ainsi minimal. Ils ne sauraient être refusés.</w:t>
      </w:r>
    </w:p>
    <w:p>
      <w:r>
        <w:rPr>
          <w:b/>
        </w:rPr>
        <w:t>E. 9</w:t>
      </w:r>
    </w:p>
    <w:p>
      <w:r>
        <w:t>Les recourantes s'en prennent ensuite à la terrasse. Ils se réfèrent à la synthèse CAMAC qui prévoit, parmi les exigences du SIPAL, une modification de son traitement et la diminution de sa surface de manière à former un simple deck rectangulaire posé sur la pelouse. Les recourantes se demandent comment cela se transcrira concrètement. On rappellera à cet égard que le voisin ne peut se prévaloir d'un intérêt digne de protection à invoquer des dispositions édictées dans l'intérêt général ou dans l'intérêt de tiers que si elles peuvent avoir une influence sur sa situation de fait ou de droit (v. p. ex. AC.2010.0059 du 28 février 2011 et les nombreuses références citées). Or, la terrasse ne se situe pas du côté de la propriété des recourantes et sera cachée à leur vue par le bâtiment projeté. De ce fait, la critique qu'elle formule n'est pas de nature à permettre une amélioration de leur situation de voisines. Le grief n'est donc pas recevable (sur la recevabilité des griefs, v. p. ex. AC.2010.0059 du 28 février 2011).</w:t>
      </w:r>
    </w:p>
    <w:p>
      <w:r>
        <w:rPr>
          <w:b/>
        </w:rPr>
        <w:t>E. 10</w:t>
      </w:r>
    </w:p>
    <w:p>
      <w:r>
        <w:t>Enfin, les recourantes relèvent qu'on ne sait rien des matériaux et des couleurs de l'enveloppe du bâtiment, qui devraient être, selon le SIPAL, "sobres et discrets" de façon à respecter "l'identité rurale du site". L'art. 48 RPAPC prévoit ce qui suit : "Les matériaux utilisés pour les couvertures, leur teinte, les couleurs des peintures et des enduits extérieurs doivent être préalablement approuvés par la Municipalité." Conformément à une pratique qu'on trouve dans de nombreux règlements communaux, des échantillons des couvertures, des matériaux et des peintures extérieures sont soumis à la municipalité avant leur pose et non pas à l'avance (voir par exemple AC.1999.0010 du 13 avril 2000). Cela s'explique par le fait qu'il est plus facile de se rendre compte de l'effet des matériaux choisis une fois la construction achevée. Cette pratique usuelle ne prête ici pas le flan à la critique. Le SIPAL devra en revanche être associé à la démarche le moment venu. La décision attaquée sera réformée sur ce point.</w:t>
      </w:r>
    </w:p>
    <w:p>
      <w:r>
        <w:rPr>
          <w:b/>
        </w:rPr>
        <w:t>E. 11</w:t>
      </w:r>
    </w:p>
    <w:p>
      <w:r>
        <w:t>Les considérants qui précèdent conduisent à l'admission très partielle du recours et à la réforme de la décision dans le sens où trois places de parc et non deux seront construites sur la parcelle n° 93 moyennant création d'une servitude. De même, des échantillons des matériaux prévus pour l'enveloppe et la couleur du bâtiment litigieux seront soumis par les constructeurs à la municipalité et au SIPAL avant leur pose. Le dossier sera retourné à la municipalité pour qu'elle établisse le permis de construire muni des indications nécessaires et renvoyant aux plans modifiés à identifier clairement. Le recours est rejeté pour le surplus. L'entier de l'émolument de justice est à la charge des recourants qui n'obtiennent que très partiellement gain de cause. Ces derniers verseront des dépens très légèrement réduits aux constructeurs et à la commune pour l'intervention de leurs conseils respectifs.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