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AC.2010.0187 vom 25. Februar 2011</w:t>
      </w:r>
    </w:p>
    <w:p>
      <w:r>
        <w:t>VD Tribunal cantonal, 2011-02-25, FR</w:t>
      </w:r>
    </w:p>
    <w:p>
      <w:r>
        <w:rPr>
          <w:b/>
        </w:rPr>
        <w:t xml:space="preserve">Quelle: </w:t>
      </w:r>
      <w:r>
        <w:t>https://mcp.opencaselaw.ch/entscheid/vd_omni_AC.2010.0187</w:t>
      </w:r>
    </w:p>
    <w:p>
      <w:r>
        <w:t>FR: VD_OMNI AC.2010.0187 du 25 février 2011</w:t>
      </w:r>
    </w:p>
    <w:p>
      <w:r>
        <w:t>IT: VD_OMNI AC.2010.0187 del 25 febbraio 2011</w:t>
      </w:r>
    </w:p>
    <w:p>
      <w:pPr>
        <w:pStyle w:val="Heading2"/>
      </w:pPr>
      <w:r>
        <w:t>Regeste</w:t>
      </w:r>
    </w:p>
    <w:p>
      <w:r>
        <w:t>SWISSCOM (Suisse) SA/Municipalité de Morges, Etablissement cantonal d'assurance contre l'incendie et les éléments, Service de l'environnement et de l'énergie | Refus d'un permis de construire une antenne de téléphonie mobile. Le nombre d'oppositions est un motif qui ne peut pas être avancé pour justifier le refus d'un permis de construire à défaut d'incidence juridique. L'intimée a sciemment refusé à la recourante une autorisation à laquelle elle savait pertinemment que celle-ci avait droit. Cette manière de faire est à la limite de ce qui est admissible de la part d'une autorité. Recours admis.</w:t>
      </w:r>
    </w:p>
    <w:p>
      <w:pPr>
        <w:pStyle w:val="Heading2"/>
      </w:pPr>
      <w:r>
        <w:t>Erwägungen</w:t>
      </w:r>
    </w:p>
    <w:p>
      <w:r>
        <w:rPr>
          <w:b/>
        </w:rPr>
        <w:t>E. 1</w:t>
      </w:r>
    </w:p>
    <w:p>
      <w:r>
        <w:t>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recourante, au bénéfice d'une concession, est la constructrice, respectivement la future exploitante de l'installation litigieuse, dont elle restera à n'en pas douter propriétaire. Partant, la recourante jouit sans conteste de la qualité pour recourir, comme l'a déjà à plusieurs reprises jugé le tribunal dans ce type de configuration (voir AC.2008.0104 du 15 juin 2009 consid. 1b [ RDAF 2010 I, p. 107 n° 128 ] , AC.2007.0301 du 27 novembre 2008 consid. 3c).</w:t>
      </w:r>
    </w:p>
    <w:p>
      <w:r>
        <w:rPr>
          <w:b/>
        </w:rPr>
        <w:t>E. 2</w:t>
      </w:r>
    </w:p>
    <w:p>
      <w:r>
        <w:t>a) La décision querellée est motivée par le nombre important d'oppositions suscitées par la mise à l’enquête publique du projet. Ce motif ne peut être retenu. Selon l’art. 104 al. 1 de la loi du 4 décembre 1985 sur l’aménagement du territoire et les constructions (LATC; RSV 700.11), la municipalité doit s’assurer, avant de délivrer le permis de construire, de la conformité du projet aux dispositions légales et réglementaires ainsi qu’aux plans d’affectation légalisés ou en voie d’élaboration;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Le nombre d’oppositions est par conséquent un motif qui ne peut être avancé pour justifier un refus à un permis de construire à défaut d’incidence juridique (arrêts AC.2007.0153 du 29 février 2008 [ RDAF 2009 I, p. 67 n° 88 ] , AC.2007.0051 du</w:t>
      </w:r>
    </w:p>
    <w:p>
      <w:r>
        <w:rPr>
          <w:b/>
        </w:rPr>
        <w:t>E. 3</w:t>
      </w:r>
    </w:p>
    <w:p>
      <w:r>
        <w:t>Au vu des considérants qui précèdent, le recours doit être admis, la décision attaquée annulée et le dossier retourné à la municipalité pour qu’elle délivre le permis de construire sollicité. Obtenant gain de cause et ayant procédé avec l'assistance d'un mandataire professionnel, la recourante peut prétendre à l'allocation de dépens qui seront mis à la charge de l'autorité intimée. Cette dernière s'acquittera également d'un émolument de justice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