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AC.2010.0105 vom 15. Dezember 2010</w:t>
      </w:r>
    </w:p>
    <w:p>
      <w:r>
        <w:t>VD Tribunal cantonal, 2010-12-15, FR</w:t>
      </w:r>
    </w:p>
    <w:p>
      <w:r>
        <w:rPr>
          <w:b/>
        </w:rPr>
        <w:t xml:space="preserve">Quelle: </w:t>
      </w:r>
      <w:r>
        <w:t>https://mcp.opencaselaw.ch/entscheid/vd_omni_AC.2010.0105</w:t>
      </w:r>
    </w:p>
    <w:p>
      <w:r>
        <w:t>FR: VD_OMNI AC.2010.0105 du 15 décembre 2010</w:t>
      </w:r>
    </w:p>
    <w:p>
      <w:r>
        <w:t>IT: VD_OMNI AC.2010.0105 del 15 dicembre 2010</w:t>
      </w:r>
    </w:p>
    <w:p>
      <w:pPr>
        <w:pStyle w:val="Heading2"/>
      </w:pPr>
      <w:r>
        <w:t>Regeste</w:t>
      </w:r>
    </w:p>
    <w:p>
      <w:r>
        <w:t>SWISS LIFE, GRAND, CLEMENTE THÉVOZ, MARLÉTAZ,PAGNONI, MONNEY, GODART, KOBLER/Municipalité de Pully, Service de l'environnement et de l'énergie, SWISSCOM (SUISSE) SA, SUNRISE COMMUNICATIONS AG p.a. ALCATEL-LUCENT SUISSE SA, Service des forêts, de la faune et de la nature | La portion de parc public utilisée comme terrain de football (par des jeunes et des moins jeunes) n'est pas "une place destinée aux jeunes"; il s'agit plutôt d'une installation sportive ou de loisirs qui ne saurait être considérée comme un lieu à utilisation sensible (LUS) mais comme un lieu de séjour momentané (LSM). Arrêt confirmé par le TF (1C_44/2011 du 27 septembre 2011)</w:t>
      </w:r>
    </w:p>
    <w:p>
      <w:pPr>
        <w:pStyle w:val="Heading2"/>
      </w:pPr>
      <w:r>
        <w:t>Erwägungen</w:t>
      </w:r>
    </w:p>
    <w:p>
      <w:r>
        <w:rPr>
          <w:b/>
        </w:rPr>
        <w:t>E. 1</w:t>
      </w:r>
    </w:p>
    <w:p>
      <w:r>
        <w:t>Les recourants laissent entendre que l'installation litigieuse ne serait pas conforme à l'affectation de la zone (parc public), qui  serait inconstructible. En l'occurrence, l'installation de téléphonie mobile litigieuse devrait être implantée sur la place de dépôt goudronnée et clôturée située dans le parc public,  dans le prolongement de l'aire de dégagements et places de parcs prévu par le Plan de quartier "Les Liaudes". Or, il ne fait pas de doute que ce secteur appartient à la zone à bâtir au sens de l'art. 48 la loi cantonale du 4 décembre 1985 sur l’aménagement du territoire et les constructions (LATC; RSV 700.11), prévoyant que les zones à bâtir sont affectées notamment à l'habitation et au délassement. Selon la jurisprudence du Tribunal fédéral, s’agissant d’une installation conforme à la zone et ne nécessitant aucune dérogation, la question de l’intérêt public et, dès lors, du besoin, ne se pose pas (ATF 1C_13/2009 du 23 novembre 2009 consid. 6 ; ATF 1A.162/2005 du 3 mai 2005, in RDAF 2006 I p. 684). Une pesée globale des intérêts telle que prévue à l'article 24 de la loi fédérale du 22 juin 1979 sur l’aménagement du territoire (LAT; RS 700) - ) - qui s'applique à l'implantation d'installations hors de la zone à bâtir - n'a ainsi pas lieu d'être et, dans cette mesure, il n'est en principe pas nécessaire d'examiner l'existence d'un besoin ni de rechercher des lieux d'implantation alternatifs (ATF 128 II 378 consid. 9 ; cf. aussi AC.2003.0078 du 26 mai 2004 consid. 2 bb). Une installation ne saurait dès lors être refusée au motif qu’elle pourrait être placée sur un mât existant d’un autre opérateur ou qu’il existerait des sites mieux adaptés ailleurs (ATF 1A.264/2000 du 24 septembre 2002, in DEP 2002. p. 769). Dans la zone à bâtir, il incombe ainsi à l’opérateur seul de choisir l’emplacement adéquat de l’installation de téléphonie mobile (ATF 1A.162/2004 consid. 4 et réf. publié in DEP 2005 p. 740).</w:t>
      </w:r>
    </w:p>
    <w:p>
      <w:r>
        <w:rPr>
          <w:b/>
        </w:rPr>
        <w:t>E. 2</w:t>
      </w:r>
    </w:p>
    <w:p>
      <w:r>
        <w:t>a) A l'intérieur de la zone à bâtir, dès l’instant où l’installation est conforme à la zone et respecte les exigences légales et réglementaires, elle doit être autorisée.  Selon la jurisprudence du Tribunal fédéral, dans la zone à bâtir, les installations de téléphonie mobile ne peuvent être considérées comme conformes à la zone que si leur emplacement et leur configuration sont en rapport direct et fonctionnel avec l’endroit où elle doivent être construites et si elles desservent avant tout un secteur de la zone à bâtir. La conformité d’une infrastructure à la zone peut aussi être admise si elle équipe la zone à bâtir dans son entier et pas seulement le secteur en question (ATF 133 II 321 consid. 4.3.2; JT 2008 I 665 p. 667). b) En l'espèce, Swisscom et Sunrise ont démontré en produisant les plans de couverture que l’installation servira à couvrir la zone à bâtir environnante, notamment par la technologie UMTS. L’installation litigieuse est par conséquent conforme à la zone à bâtir.</w:t>
      </w:r>
    </w:p>
    <w:p>
      <w:r>
        <w:rPr>
          <w:b/>
        </w:rPr>
        <w:t>E. 3</w:t>
      </w:r>
    </w:p>
    <w:p>
      <w:r>
        <w:t>Il convient encore d'examiner si l'installation projetée - qui devrait être implantée dans le secteur du parc public - respecte en outre  les exigences légales et réglementaires qui régissent cette zone. Selon l'art. 5 du Règlement du Plan de quartier , "la partie ouest du périmètre du plan de quartier qui n'est pas dévolu à l'habitation est destinée à un parc public et à d'autres fonctions de loisirs tels que les jardins familiaux. Des petites constructions peuvent être autorisées pour autant qu'elles soient en relation avec les fonctions décrites ci-dessus et qu'elles soient implantées à plus de 10 mètres de la lisière de la forêt" . Le texte de cette disposition est clair. Seules sont admises dans le parc public des constructions en relation avec les loisirs ou les jardins familiaux, dont les installations litigieuses ne font manifestement pas partie. En outre, un mât de 25 m de hauteur, muni de plusieurs antennes directionnelles, ne saurait être considéré, par son ampleur et son impact dans le site, comme des "petites constructions". Il s'ensuit que l'installation de téléphonie mobile ne peut être autorisée que moyennant l'octroi d'une dérogation qui a du reste été requise par les opérateurs.</w:t>
      </w:r>
    </w:p>
    <w:p>
      <w:r>
        <w:rPr>
          <w:b/>
        </w:rPr>
        <w:t>E. 4</w:t>
      </w:r>
    </w:p>
    <w:p>
      <w:r>
        <w:t>a) Aux termes de l’art. 85 LATC, dans la mesure où le règlement communal le prévoit, des dérogations aux plans et à la réglementation y afférente peuvent être accordées par la municipalité pour autant que des motifs d’intérêt public ou des circonstances objectives le justifient ; l’octroi de dérogations ne doit pas porter atteinte à un autre intérêt public ou à des intérêts prépondérants de tiers (al. 1). Selon l’art. 34 du Règlement communal de Pully sur l'aménagement du territoire et les constructions (RCATC), la municipalité peut accorder des dérogations aux dispositions réglementaires communales dans les limites de l'art 85 LATC. b) Selon la jurisprudence, les dispositions exceptionnelles ou dérogatoires telles que l'art. 85 LATC ne doivent pas nécessairement être interprétées de manière restrictive. L'octroi d'une dérogation suppose une situation exceptionnelle et ne saurait devenir la règle, à défaut de quoi l'autorité compétente pour délivrer des permis de construire se substituerait au législateur cantonal ou communal par le biais de sa pratique dérogatoire (v. notamment ATF 112 Ib 51 consid. 5 p. 53). Il implique une pesée des intérêts publics et privés de tiers au respect des dispositions dont il s'agirait de s'écarter et des intérêts du propriétaire privé requérant l'octroi d'une dérogation; toutefois, des raisons purement économiques ou l'intention d'atteindre la meilleure solution architecturale, ou une utilisation optimale du terrain, ne suffisent pas à elles seules à conduire à l'octroi d'une dérogation (v. notamment AC.2009.0147 du 11 juin 2010 consid. 5b ; AC.2008.0043 du 21 avril 2009 consid. 4b ; AC.2007.0116/ AC.2007.0170 du 30 septembre 2008 consid. 7d; AC.2007.0041 du 5 juillet 2007 consid. 5b/aa et les arrêts cités). c) En l’espèce, l'installation de téléphonie mobile incriminée est prévue non pas dans le parc public à proprement parler, mais à l'intérieur d'une place de dépôt utilisée par les services communaux de la voirie depuis 1950 environ;  cette place, qui bénéficie de la protection de la situation acquise, a du reste été goudronnée et clôturée par un treillis il y a une dizaine d'années. L'implantation des équipements de téléphonie mobile à l'endroit litigieux ne répond pas à une pure question de convenance des opérateurs, mais à un besoin, contrairement à qui était le cas dans l'affaire jugée le 1 er juillet 2004 par le Tribunal fédéral (1A.22/2004 concernant l'implantation d'une antenne dans la zone de dégagement et de verdure de la Commune de Gollion). En effet, l'emplacement choisi est le fruit d'un compromis entre les zones à bâtir à couvrir et la puissance des antennes: il s'agit du meilleur emplacement possible en termes de couverture, eu égard à la topographie accidentée des lieux (vallon traversé par une rivière). Si le mât litigieux ne pouvait pas être réalisé à cet endroit, il serait alors nécessaire de le remplacer par plusieurs d'antennes sur d'autres sites à proximité immédiate des habitations ou par un seul mât mais d'une hauteur plus importante afin d'obtenir une couverture radioélectrique équivalente. Il existe donc des raisons objectives importantes qui font apparaître l'emplacement retenu comme beaucoup plus favorable que d'autres emplacements éventuels situés dans le secteur construit. L'inspection des lieux a permis de constater que l'emplacement choisi pour le mât d'antennes était adéquat, car il se trouvait à l'endroit qui était le plus éloigné possible des bâtiments d'habitation et permettait de regrouper les antennes de deux opérateurs différents  sur le même mât. On peut donc admettre que l'installation répond à un besoin. Il s’ensuit que, compte tenu de l'ensemble de ces circonstances exceptionnelles et en particulier de la topographie accidentée des lieux, il se justifie d'accorder une dérogation à la règle de l'art. 5 du Règlement du Plan de quartier. L'octroi de cette dérogation est d'autant plus justifié que, indépendamment des obligations minimales résultant de la concession, il existe un intérêt public à assurer une couverture optimale du réseau de téléphonie mobile qui découle de l'art. 92 al. 2 Cst. et de l'art. 1er al. 1 et 2 de la loi fédérale sur les télécommunications (LTC; RS 784.10)</w:t>
      </w:r>
    </w:p>
    <w:p>
      <w:r>
        <w:rPr>
          <w:b/>
        </w:rPr>
        <w:t>E. 5</w:t>
      </w:r>
    </w:p>
    <w:p>
      <w:r>
        <w:t>al. 2 let. b de la loi forestière actuelle, l'intérêt de la réalisation de la construction l'emporte sur la protection de l'aire forestière (cf. AC.2008.0156 du 28 décembre 2009, consid. 4; AC.2001.0090 du 27 mai 2002 consid. 6). b) En l'occurrence, l'implantation des équipements de téléphonie mobile litigieux est prévue à moins de 10 mètres de la lisière de la forêt, mais sur une place de place de dépôt (goudronnée et clôturée) déjà construite et empiétant déjà sur la bande inconstructible de 10 mètres. Comme le relève à juste titre le SFFN, si cet espace de transition constituait un milieu favorable à la faune et à la flore, il ne l'est plus du fait de la clôture; le projet litigieux ne touche aucun site ou biotope protégé. Le SFFN a délivré l'autorisation spéciale requise pour l'implantation de l'ouvrage en cause à moins de 10 mètres de la lisière de la forêt, du moment que l'emplacement choisi était justifié, car il utilisait de manière judicieuse la place de la voirie, se trouvait à l'intérieur du périmètre déjà clôturé et par conséquent la construction envisagée n'aggravait pas l'impact déjà existant sur la forêt. Le SFFN a en outre souligné que le mât et les antennes seraient de couleur verte, afin de s'adapter aux boisements présents sur le site. En outre, on peut admettre que des raisons objectives et techniques justifient la réalisation de l'ouvrage projeté à l'emplacement prévu, comme on vient de le voir ci-dessus (consid. 4). Selon les constatations faites lors de la visite des lieux, même si l'on éloignait l'installation incriminée de la forêt, cela ne permettrait pas de réduire la hauteur du mât; au contraire, un rapprochement du milieu bâti obligerait les opérateurs à installer un mât encore plus haut afin de surplomber les bâtiments d'habitation environnants et d'obtenir ainsi la même couverture. Enfin, l'emplacement choisi présente d'autres avantages; d'un point de vue esthétique, il permet la meilleure intégration possible du mât d'antennes au site du fait de la faible distance à la forêt. En résumé, dans la mesure où la solution retenue n'aura pratiquement aucune incidence sur la forêt, l'intérêt public à la protection de celle-ci doit céder le pas aux l'intérêts public et privé à la réalisation du projet.</w:t>
      </w:r>
    </w:p>
    <w:p>
      <w:r>
        <w:rPr>
          <w:b/>
        </w:rPr>
        <w:t>E. 6</w:t>
      </w:r>
    </w:p>
    <w:p>
      <w:r>
        <w:t>Les recourant font valoir que le projet soulève un problème d’esthétique et d’intégration dans le paysage. a) En vertu de l'art. 86 de la loi du 4 décembre 1985 sur l’aménagement du territoire et les constructions (LATC; RSV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 fondant sur l'art. 86 al. 3 LATC, la commune de Pully a adopté l’art.  32 RCATC relatif à l'esthétique des constructions, prévoyant que la Municipalité peut prendre des dispositions exceptionnelles pour sauvegarder les qualités particulières d'un lieu ou pour tenir compte de situations acquises. b) Selon la jurisprudence du Tribunal fédéral,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 Il faut que l'utilisation des possibilités de construire réglementaires apparaisse déraisonnable et irrationnelle (ATF M. c/ Ormont-Dessus, du 1er novembre 1989; ATF 115 Ia 114; 115 Ia 345; 114 Ia 345; ATF 101 Ia 213; AC.1993.0125 du 2 mai 1994). L'autorité doit donc prendre garde à ce que la clause d'esthétique ne vide pas pratiquement de sa substance la réglementation de la zone en vigueur (ATF 115 Ia 114; 114 Ia 345 consid. 4 b). Il convient encore de rappeler que l’art. 86 LATC constitue une disposition à caractère et à but publics. Il n'est pas destiné à la protection d'intérêts privés, car le propriétaire qui tient à se prémunir contre un préjudice résultant de constructions voisines peut arriver à ses fins par des voies privées (achat de terrains, servitudes, etc.) ou par la voie d'un plan de quartier par exemple. Le propriétaire ne bénéficiera donc de la protection de la clause d’esthétique que dans la mesure où ses intérêts privés coïncident avec les buts d'intérêt public recherchés par cette institution (ATF 101 Ia 213 consid. 6 b). En particulier, le droit à la vue des voisins n’est pas protégé par le droit public (AC.2009.0289 du 31 mai 2010 consid. 4; AC.2007.0025 du 6 décembre 2007).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Droit fédéral et vaudois de la construction, 4 e éd., note 3 ad art. 86 LATC). Pour cette raison, la Cour de droit administratif et public du Tribunal cantonal observe une certaine retenue dans l'examen du problème, en ce sens qu'elle ne substitue pas sans autre son propre pouvoir d'appréciation à celui de l'autorité municipale (AC.1993.0034 du 29 décembre 1993). Par ailleurs,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En matière d’installations de téléphonie mobile, la CDAP a jugé que, si l'on ne pouvait nier qu'une antenne de communication présentait nécessairement un aspect déplaisant, encore fallait-il, pour exclure son implantation, qu'elle péjore de manière incontestable les qualités esthétiques d'un endroit donné (AC.2004.0185 du 2 mai 2005; AC.2004.0276 du 30 juin 2005). d) En l’espèce, l’installation de téléphonie mobile projetée devrait s'implanter sur une place servant de dépôt pour les bennes et véhicules des services de la voirie communale. Cette place, qui jouxte le parc public, est délimitée par un treillis bordé d'une haie et de jeunes arbres. Le site ne présente ainsi pas de qualités particulières dignes d'être protégées. Le projet litigieux concerne l’édification d’un mât métallique d’une hauteur de près de 25 mètres et comportant six antennes de téléphonie mobile. L'inspection local a permis de constater que si cette installation aurait un impact sur le plan visuel, elle serait toutefois relativement peu visible, dans la mesure où elle se trouverait à proximité d'une forêt dont certains arbres culminent à 20 mètres environ. Le mât prendrait place au fond d'un vallon, ce qui aura pour effet d'atténuer encore l'impact paysager. En outre et surtout, le mât d'antennes devra être de couleur verte, afin de se confondre avec les boisements présent sur le site. La présence de cette installation de téléphonie mobile à l'endroit choisi n’aura par conséquent rien de choquant. Du reste, les plus proches bâtiments d'habitation d'où le mât serait visible se trouvent à une distance de 100 mètres environ. La municipalité n’a ainsi pas abusé de son large pouvoir d’appréciation en considérant que les exigences en matière d’esthétique et d’intégration étaient respectées.</w:t>
      </w:r>
    </w:p>
    <w:p>
      <w:r>
        <w:rPr>
          <w:b/>
        </w:rPr>
        <w:t>E. 7</w:t>
      </w:r>
    </w:p>
    <w:p>
      <w:r>
        <w:t>Les recourants soutiennent que les antennes ne respecteraient pas toutes les exigences de l'ordonnance sur la protection contre le rayonnement non ionisant (ORNI). a) Les valeurs limites de l’installation pour les stations émettrices pour téléphonie mobile et raccordements téléphoniques sans fils sont fixées à 6,0 V/m pour les installations qui, comme en l’espèce, émettent exclusivement dans la gamme de fréquence autour de 1800 MHz ou dans une gamme de fréquence plus élevée. Swisscom a fait procéder à l'évaluation du rayonnement de l'installation litigieuse. Ses calculs, contenus dans la fiche de données spécifique au site du 16 octobre 2008, ont été vérifiés par les ingénieurs du SEVEN, qui ont procédé à deux évaluations supplémentaires (n° 16 et 17). Le rayonnement non ionisant pour le lieu de séjour momentané (LSM) le plus chargé, situé au pied du mât, est de 8.6 V/m, soit 14.2% de la valeur limite d’immissions. Quant au rayonnement dans les trois lieux à utilisation sensible (LUS) les plus chargés, il est respectivement de 5.85 V/m (n°12 - habitation), 5.70 V/m ((n° 14 - habitation) et 5.69 V/m (n° 15 - place de jeux). Les recourants admettent que la valeur limite d'installation et les valeurs limites d'imissions définies aux annexes 1 et 2 de l'ORNI sont respectées dans tous les LUS et les LSM retenus par les constructrices et le SEVEN (soit 17 lieux) (art. 4 al. 1 ORNI en relation avec les chiffres 64 let. b et 65 de l'annexe 1; art. 5 et 13 al. 1 ORDNI en relation avec l'annexe 2). Les recourants estiment cependant que le rayonnement non ionisant doit être évalué par rapport à deux autres lieux, soit le terrain de football (cage des buts) et les bancs publics, qui constituent, selon eux, des LUS. Pour sa part, le SEVEN considère ces deux endroits comme des LSM. b) A teneur de l'art. 11 al. 2 let. c ch. 2 ORNI, la fiche de données spécifique au site doit contenir des informations concernant le rayonnement émis par l'installation sur les trois lieux à utilisation sensible où ce rayonnement est le plus fort. Selon l'art. 3 al. 3 ORNI, par lieu à utilisation sensible, on entend notamment les "places de jeux publiques ou privées, définies dans un plan d'aménagement (let. b) et "les parties de terrains non bâtis sur lesquelles des activités au sens (de la lettre b) sont permises". Ainsi, les lieux où les jeunes séjournent régulièrement tels que les écoles, les jardins d'enfants et les places destinées aux jeunes sont considérées comme des LUS selon l'art. 3 al. 3 ORNI (cf. arrêt du Tribunal fédéral 1C_429/2010 du 15 octobre 2010, consid. 7). Selon la Recommandation d'exécution de l'ORNI ( Stations de base pour téléphonie mobile et raccordement sans fil (WLL) - Office fédéral de l'environnement, des forêts et du paysage, Berne 2002), en général, "les installations sportives et de loisirs ainsi que piscines" etc. ne sont pas considérées comme des LUS (p. 15). L'Office fédéral de l'environnement a édicté de nouvelles recommandations (Téléphonie mobile: guide à l'intention des communes et des villes; Berne 2010), où les "écoles et jardins d'enfants" sont mentionnés comme des LUS (p. 22), mais pas les terrains de sports ou de loisirs. c) En l'occurrence, les constructrices ont retenu comme LUS (n° 15 de la fiche des données) la place de jeux pour (jeunes) enfants, qui est clairement circonscrite et qui regroupe plusieurs engins de jeux. Il en va différemment de la partie du parc public utilisée comme terrain de football. Il y a lieu de rappeler que le parc public tel que défini par le Plan de quartier "Les Liaudes" n'est pas réservé exclusivement aux jeunes, mais destiné à tout un chacun. Dans ces conditions, la portion du parc public utilisée comme terrain de football (par des jeunes et moins jeunes) n'est pas à proprement parler une "place destinée aux jeunes", mais doit être assimilée à une installation sportive ou de loisirs qui entre dans la catégorie des LSM. De même, les bancs publics doivent, par définition, être considérés comme des LSM. L’installation litigieuse respecte ainsi les valeurs limites d’installation fixées par l’ORNI dans les trois lieux à utilisation sensible les plus chargés. Partant, la requête des recourants tendant à examiner la question du rayonnement prévisible sur le terrain de football et les bancs publics doit être rejetée, du moment que ces endroits ne peuvent pas être qualifiés de LUS. On relèvera par ailleurs que l'opérateur responsable de l'installation devra faire procéder à des mesures de contrôle dans les six mois qui suivent la mise en exploitation, condition qui figure dans le permis de construire, étant précisé que les mesures sont effectuées par des sociétés assermentées et certifiées.</w:t>
      </w:r>
    </w:p>
    <w:p>
      <w:r>
        <w:rPr>
          <w:b/>
        </w:rPr>
        <w:t>E. 8</w:t>
      </w:r>
    </w:p>
    <w:p>
      <w:r>
        <w:t>Il résulte de ce qui précède que les recours doivent être rejetés et les décisions attaquées confirmées. L’émolument de justice sera mis à la charge des deux groupe de recourants, qui supporteront également des dépens en faveur de l’autorité intimée et de constructrice, qui ont été représentées par des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