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AC.2010.0067 vom 13. Januar 2011</w:t>
      </w:r>
    </w:p>
    <w:p>
      <w:r>
        <w:t>VD Tribunal cantonal, 2011-01-13, FR</w:t>
      </w:r>
    </w:p>
    <w:p>
      <w:r>
        <w:rPr>
          <w:b/>
        </w:rPr>
        <w:t xml:space="preserve">Quelle: </w:t>
      </w:r>
      <w:r>
        <w:t>https://mcp.opencaselaw.ch/entscheid/vd_omni_AC.2010.0067</w:t>
      </w:r>
    </w:p>
    <w:p>
      <w:r>
        <w:t>FR: VD_OMNI AC.2010.0067 du 13 janvier 2011</w:t>
      </w:r>
    </w:p>
    <w:p>
      <w:r>
        <w:t>IT: VD_OMNI AC.2010.0067 del 13 gennaio 2011</w:t>
      </w:r>
    </w:p>
    <w:p>
      <w:pPr>
        <w:pStyle w:val="Heading2"/>
      </w:pPr>
      <w:r>
        <w:t>Regeste</w:t>
      </w:r>
    </w:p>
    <w:p>
      <w:r>
        <w:t>GAUDARD PALEY /Municipalité de Gollion, POTT GAROFANO | CUS respecté si l'on prend en compte uniquement les surfaces utilisables pour l'habitation et le travail conformément à la norme ORL no 514'420. Confirmation de la jurisprudence selon laquelle un balcon profond de 1 m 50 n'est pas pris en compte pour le respect de la distance à la limite. Violation d'une disposition communale selon laquelle les ouvertures en toiture doivent être réduites au minimum requis pour ce qui est de deux vélux qui ne sont pas nécessaires pour assurer un éclairage conforme aux exigences minimales. Décision réformée en ce sens que la délivrance du permis de construire est subordonnée à la suppression de ces deux vélux.</w:t>
      </w:r>
    </w:p>
    <w:p>
      <w:pPr>
        <w:pStyle w:val="Heading2"/>
      </w:pPr>
      <w:r>
        <w:t>Erwägungen</w:t>
      </w:r>
    </w:p>
    <w:p>
      <w:r>
        <w:rPr>
          <w:b/>
        </w:rPr>
        <w:t>E. 2</w:t>
      </w:r>
    </w:p>
    <w:p>
      <w:r>
        <w:t>), étant précisé que cette dernière ne devrait pas être prise en considération dès lors que, interpellés sur cette question lors de l’audience, les constructeurs ont indiqué qu’elle ne sera pas  affectée à l’habitation ou à une activité professionnelle. c) Vu ce qui précède, le grief relatif au CUS doit être écarté. 4.                Les recourants font valoir que le balcon ne respecte pas la distance aux limites de trois mètres prévue par l’art. 27 RPGA. a) L’art. 27 al. 1 RPGA a la teneur suivante: « La distance entre les bâtiments et la limite de la propriété voisine est fixée, dans la règle, à 3 m. au minimum. Cette distance peut être réduite si une telle solution permet de renforcer la structure resserrée caractéristique des parties denses du village, conduit à la sauvegarde d’éléments dignes de protection (arbres majeurs, espaces libres participant à la structure caractéristique du bâti; etc.) ou favoriser un meilleur usage du fond dans une situation parcellaire imbriquée. Dans de tels cas, l’accord écrit du propriétaire voisin doit être produit dans le dossier de demande de permis de construire. En outre, les prescriptions cantonales concernant la défense incendie et les dispositions du Code rural et foncier relatives au droit de voisinage sont réservées. La construction d’un bâtiment en limite de propriété est autorisée si la contiguïté est existante, si le propriétaire voisin a déjà construit sur la limite commune ou si le propriétaire donne son accord par écrit. » b) En l’occurrence, le balcon prévu en façade sud-ouest ne respecte pas la distance de 3 m par rapport à la parcelle des recourants. Il convient par conséquent d’examiner si cet élément doit être pris en compte pour ce qui est de la distance aux limites. Lorsque, comme c’est le cas en l’espèce, la réglementation communale ne comporte pas d'indications sur les éléments de construction à prendre en considération pour calculer la distance à respecter entre un bâtiment et la limite de propriété, la question doit, de manière générale, être examinée en fonction du but poursuivi par ce type de règle.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(AC. 2006.0247 du 31 janvier 2008, in RDAF 2009.34 ; AC.2003.0089 du 9 juin 2004; AC.2003.0118 du 25 février 2004; cf. également Jean-Luc Marti, Distances, coefficients et volumétrie des constructions en droit vaudois, Payot Lausanne, p. 87). Elle vise également à garantir un minimum de tranquillité aux habitants (AC.1991.0129 du 4 novembre 1992).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considérer qu'il aggrave les inconvénients pour le voisinage et, par conséquent, qu'il doit respecter les distances aux limites et demeurer à l'intérieur du périmètre constructible (cf. dans ce sens l'arrêt AC.2006.0247 précité, p. 13.).En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(voir notamment CDAP,  arrêt AC.2007.0278 du 14 octobre 2008 consid. 5b et références). c) En l'espèce, est prévue la construction d’un balcon de type traditionnel, non fermé latéralement, avec une profondeur finalement réduite à 1.50 m. Ce balcon constitue une saillie d'importance réduite par rapport à l'ensemble de la construction qui ne crée pas visuellement un volume supplémentaire. Il fait donc partie des  ouvrages qui ne sont pas pris en compte dans le calcul de la distance à respecter entre bâtiments et limites de propriété. d) Il résulte de ce qui précède que le grief relatif au respect de la distance aux limites doit également être écarté. 5.                Les recourants soutiennent que la taille, le nombre et l’alignement des percements en façade sud vont dénaturer la construction existante. Ils contestent également le nombre de percements en toiture. Ils prétendent enfin que le balcon ne s’insère pas dans un développement harmonieux de la construction existante et conduit à une banalisation, voire à un enlaidissement du village. Ils invoquent les art. 10, 33 et 36 RPGA. Ils relèvent que le bâtiment fait partie des bâtiments à réhabiliter selon cette dernière disposition. a) L’art. 10 al. 1 RPGA à la teneur suivante: « La Municipalité veille à préserver la qualité du site bâti et l’intégrité des sites naturels. A cet effet, elle peut prendre toute mesure pour empêcher l’enlaidissement ou la banalisation du territoire. » L’art 10 RPGA précise au niveau du règlement communal la règle générale exprimée par l'art. 86 LATC sur l'esthétique et l'intégration des constructions. En vertu de cet article,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(et comme la jurisprudence cantonale le rappelle régulièrement, voir p. ex. AC.2005.0276 du 23 novembre 2006),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 aussi "Droit fédéral et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(AC.2008.0258 du 19 août 2009 et AC.2008.0165 du 26 janvier 2009). Dès lors que l'autorité municipale dispose dans ce domaine d'un large pouvoir d'appréciation, la Cour de droit administratif et public observe une certaine retenue dans l'examen du problème, en ce sens qu'elle ne substitue pas sans autre son propre pouvoir d'appréciation à celui de l'autorité municipale. En effet, l'autorité de recours ne revoit que l'abus ou l'excès du pouvoir d'appréciation, dans la mesure où il s'agit de questions dont la solution dépend étroitement des circonstances locales.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(cf. AC.2008.0258 précité et références). Pour ce qui est de l’examen du projet sous l’angle de l’esthétique et de l’intégration, il convient également de tenir compte de l’art. 36 RPGA relatif aux « bâtiments à réhabiliter », dont fait partie le bâtiment litigieux. Cette disposition a la teneur suivante: « Ces bâtiments sont classés en note *4* du recensement architectural ou présentent un intérêt du point de vue urbanistique, du fait de leur implantation. Les bâtiments à réhabiliter indiqués sur le plan peuvent être réhabilités (changement d’affectation, occupation plus ou moins complète des parties vides, etc.), ils peuvent recevoir aussi bien du logement que des activités. Chaque intervention doit être adaptée au contexte particulier du bâtiment; le programme de l’intervention doit être établi en fonction d’une utilisation optimale du bâtiment, ce qui en interdit la suroccupation. En principe, les interventions légères, maintenant la structure interne de l’objet, sont à préférer à des interventions lourdes. Cependant, la municipalité peut autoriser des transformations lourdes lorsque le programme présente un intérêt public particulier, par exemple pour la création de services ou lorsque l’intervention présente un caractère architectural digne d’intérêt. Les agrandissements sont également autorisés pour autant qu’ils ne compromettent pas la perception de la volumétrie générale du bâtiment. L’adjonction d’un corps secondaire perpendiculaire sur la partie arrière du bâtiment peut notamment répondre à cette condition. Lorsque le bâtiment est vétuste ou manifestement inadapté à une reconversion, la municipalité peut autoriser sa démolition ou son remplacement par une construction neuve aux conditions fixées pour la zone concernée. Elle peut cependant demander une expertise aux frais du requérant, avant de rendre sa décision et prendre l’avis de la Commission consultative d’urbanisme. » Dès lors que les recourants mettent spécifiquement  en cause les ouvertures en toiture, il convient enfin de relever que, dans le territoire régi par le plan partiel d’affectation du village, ces dernières font l’objet d’une disposition spécifique, soit l’art. 33 RPGA dont la teneur est la suivante: « Pour maintenir la forme unitaire et la fonction protectrice du toit, il convient d’en limiter le percement en nombre et en surface. Les locaux situés dans les combles doivent prendre jour essentiellement par les pignons. Les ouvertures en toiture doivent être réduites au minimum requis. Les lucarnes saillantes doivent respecter, le cas échéant, l’ordonnancement de la façade et l’étagement des ouvertures dont la taille se réduit à chaque niveau. Les lucarnes couvertes d’un pan de toit relevé sont interdites. Les lucarnes doivent être adaptées au contexte du toit; elles doivent donc être conçues de manière à présenter une famille de matériaux homogène, distincts de ceux de la façade (bois, cuivre, tôle peinte, tuiles, etc.). Les « balcons baignoire » non couverts sont interdits. » b) La vision locale a permis de constater que l’état du bâtiment litigieux justifie l’intervention relativement lourde qui est prévue, cette intervention ne remettant pas en cause la volumétrie générale du bâtiment. Les ouvertures en façade sud, même si elles peuvent apparaître relativement importantes, n’impliquent pas une atteinte significative à l’identité du bâtiment. Il en va de même du balcon, ce d’autant plus que ses dimensions ont été réduites. En tous les cas, on ne saurait considérer que, sur ce point, la municipalité a abusé du large pouvoir d’appréciation qui doit lui être reconnu en matière d’esthétique et d’intégration des constructions. Pour ce qui est de l’intégration à l’environnement bâti, la vision locale a permis de constater qu’on ne se trouve pas en présence d’un besoin particulier de protection d’un site, d’un bâtiment ou d’un ensemble de bâtiments présentant des qualités esthétiques remarquables que le projet menacerait et qui justifierait l’intervention du tribunal. Les recourants ne prétendent d’ailleurs pas que le bâtiment ferait partie d’un site inventorié méritant une protection particulière. Pour ce qui est des ouvertures en toiture, on constate la présence de quatre velux sur la partie nord de la toiture, deux dans la partie supérieure et deux dans la partie inférieure. Les velux supérieurs correspondent à ce qui est nécessaire pour assurer l’éclairage des combles. En revanche, vérification faite, les deux velux inférieurs, destinés à éclairer l’espace repas/cuisine du rez-de-chaussée, ne sont pas nécessaires, cet espace étant suffisamment éclairé  par les ouvertures prévues sur la façade ouest. Ces deux velux ne respectent par conséquent pas l’exigence de l’art. 33 RPGA selon laquelle les ouvertures en toiture doivent être réduites au minimum requis. La décision communale doit donc également être réformée sur ce point en ce sens que la délivrance du permis de construire est subordonnée à la suppression des deux velux prévus dans la partie inférieure du toit. 6.                Il résulte de ce qui précède que le recours doit être partiellement admis. Vu le sort du recours et compte tenu des difficultés à obtenir des constructeurs les informations permettant de vérifier la réglementarité du projet, les frais de la cause sont partagés entre les constructeurs et les recourants. En outre, la Commune de Gollion, qui a agi par l’intermédiaire d’un mandataire professionnel, a droit à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