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AC.2010.0042 vom 20. August 2010</w:t>
      </w:r>
    </w:p>
    <w:p>
      <w:r>
        <w:t>VD Tribunal cantonal, 2010-08-20, FR</w:t>
      </w:r>
    </w:p>
    <w:p>
      <w:r>
        <w:rPr>
          <w:b/>
        </w:rPr>
        <w:t xml:space="preserve">Quelle: </w:t>
      </w:r>
      <w:r>
        <w:t>https://mcp.opencaselaw.ch/entscheid/vd_omni_AC.2010.0042</w:t>
      </w:r>
    </w:p>
    <w:p>
      <w:r>
        <w:t>FR: VD_OMNI AC.2010.0042 du 20 août 2010</w:t>
      </w:r>
    </w:p>
    <w:p>
      <w:r>
        <w:t>IT: VD_OMNI AC.2010.0042 del 20 agosto 2010</w:t>
      </w:r>
    </w:p>
    <w:p>
      <w:pPr>
        <w:pStyle w:val="Heading2"/>
      </w:pPr>
      <w:r>
        <w:t>Regeste</w:t>
      </w:r>
    </w:p>
    <w:p>
      <w:r>
        <w:t>NEHAMA/Municipalité de St-Prex, APAR SA, MORAND Georges, Service des eaux, sols et assainissement, Service des forêts, de la faune et de la nature, Etablissement cantonal d'assurance contre l'incendie et les éléments | Conditions d'une dérogation à la distance de 10 m à la lisière admises en l'espèce pour l'aménagement d'une rampe d'accès à un parking. En particulier, le Centre de conservation de la faune et de la nature a délivré l'autorisation requise par les art. 4a LPNMS et 22 LFaune en fixant les conditions nécessaires à la protection du biotope constitué par la lisière.</w:t>
      </w:r>
    </w:p>
    <w:p>
      <w:pPr>
        <w:pStyle w:val="Heading2"/>
      </w:pPr>
      <w:r>
        <w:t>Erwägungen</w:t>
      </w:r>
    </w:p>
    <w:p>
      <w:r>
        <w:rPr>
          <w:b/>
        </w:rPr>
        <w:t>E. 1</w:t>
      </w:r>
    </w:p>
    <w:p>
      <w:r>
        <w:t>Le recourant estime que la demande de permis de construire aurait dû être signée par le propriétaire du fonds dominant des servitudes de source et de canalisation grevant la parcelle n° 213. a) L'art. 108 al. 1 de la loi sur l’aménagement sur le territoire et les constructions du 4 décembre 1985 (LATC; RSV 700.11) prévoit que la demande de permis doit être signée par le propriétaire du fonds, lorsqu'il s'agit de travaux à effectuer sur le fonds d'autrui. A défaut, la municipalité ne peut délivrer le permis de construire. Cette exigence est en relation avec les art. 671 et ss CC; elle est une des conséquences du principe civil de l'accession qui veut que le droit du propriétaire s'étende à tout ce qui est incorporé au sol, dont les constructions (art. 667 al. 2 CC; Paul-Henri Steinauer, Droits réels II, 2ème édition, Berne 1994, no 1622). La signature des plans par le propriétaire du fonds n'est pas une prescription de forme (RDAF 1992, 220). Elle permet à la municipalité de vérifier que celui qui entreprend une construction a obtenu l'accord de celui qui a la maîtrise juridique du bien-fonds et que ce dernier consent aux travaux et à tous les effets de droit public qui en découlent (révision de l'estimation fiscale, taxe de raccordement etc.). Cette règle a aussi pour effet de prévenir des conflits ultérieurs de droit privé une fois les travaux achevés (voir RVJ 1999 p. 203 et ss). L'absence de signature du propriétaire peut être réparée par la signature subséquente, notamment dans le cadre de la procédure de recours (RDAF 1993 p. 127;1972 p. 281; AC 93/0010 du 20 janvier 1994), ou même par la production d'une procuration du propriétaire en faveur de l'auteur des plans (arrêt TA AC 00/051 du 10 avril 2001). Mais l'art. 108 al. 1 LATC n’exige pas la signature du titulaire du droit réel restreint grevant le fond sur lequel les travaux sont envisagés. Ainsi, bien que le recourant soit propriétaire du fonds dominant bénéficiaire des servitudes de source et de canalisation grevant la parcelle 213, sa signature sur les documents de la demande de permis de construire n’est pas requise par la loi. b) En outre, les questions préjudicielles de droit civil ne doivent pas être résolues dans la procédure de permis de construire, sauf si le droit public renvoie à ce droit, ce qui est notamment le cas pour vérifier le titre juridique de l’accès au fonds (art. 104 al. 3 LATC, AC.2008.0233 du 6 mai 2009 consid. 3b/aa et AC.1996.0173 du 30 janvier 1997 consid. 1). Ainsi, la question de savoir si les servitudes de source et de canalisation dont le recourant est titulaire font obstacle au projet de construction n’est pas du ressort de l’autorité chargée de délivrer un permis de construire. Il ne lui appartient pas d’examiner, à titre préjudiciel, si de telles servitudes empêchent la réalisation du projet (voir arrêt AC.2009.0082 du 26 février 2010 consid. 7; AC.2009.0028 du 27 juillet 2009; AC.2008.0265 du 19 mai 2009 consid. 3; AC.2007.0098 du 20 mai 2008 consid. 3). En conséquence, les griefs du recourant concernant la compatibilité du projet de construction avec les servitudes de source et canalisation sont irrecevables dans le cadre du recours formé contre la décision sur le permis de construire; seule la juridiction civile est compétente pour se prononcer sur cette question et pour déterminer si le projet de construction serait ou non de nature à porter atteinte aux droits d’eau du recourant (voir notamment AC.2009.0080 du 9 juin 2010, consid. 2a).</w:t>
      </w:r>
    </w:p>
    <w:p>
      <w:r>
        <w:rPr>
          <w:b/>
        </w:rPr>
        <w:t>E. 2</w:t>
      </w:r>
    </w:p>
    <w:p>
      <w:r>
        <w:t>Le recourant dénonce une violation des articles 89 et 91 LATC. Il estime que la zone de source située à proximité même de la construction litigieuse nécessiterait le dépôt d’un rapport géologique, dès lors que le terrain ne semblait pas présenter une solidité suffisante ou, en tout cas, serait exposé à des dangers spéciaux, tels que l’éboulement, l’arrivée massive d’eau souterraine lors du terrassement, et la mise en péril de la source. Ainsi, toute construction devrait être interdite aussi longtemps que les travaux propres à consolider les terrains et à écarter les dangers ne soient réalisés. a) L’art. 89 LATC prévoit que toute construction sur un terrain ne présentant pas une solidité suffisante ou exposé à des dangers spéciaux, tels que l’avalanche, l’éboulement, l’inondation, les glissements de terrains, est interdite avant l’exécution de travaux propres, à dire d’expert, à le consolider ou à écarter ces dangers; l’autorisation de construire n’engage pas la responsabilité de la commune ou de l’Etat (al. 1). En outre, les plans de construction nécessitant des calculs de résistance doivent être établis par un ingénieur; il en est de même des plans de fondation et de toute autre partie de la construction lorsque celle-ci présente des dangers spéciaux (al. 2). L’art. 91 LATC précise que le sol affecté à la construction doit être reconnu salubre (al. 1). Les mesures nécessaires doivent être prises pour préserver le sol de toute infiltration provenant de la construction, du sous-sol ou du voisinage (al. 2). Il résulte de ces dispositions que le législateur cantonal laisse au propriétaire constructeur la responsabilité de prendre toutes les mesures propres à consolider le terrain ou à écarter des dangers de glissement, indépendamment des autorisations qui lui seraient délivrées par la commune ou par le canton (voir arrêt AC.2009.0082 du 26 février 2010 consid. 2a). b) Par ailleurs, selon l'art. 120 al. 1 let. b LATC, les constructions et les ouvrages nécessitant des mesures particulières de protection contre les dangers d'incendie et contre les dommages causés par les forces naturelles font l'objet d'une autorisation spéciale. L’art. 121 let. b LATC précisait que l’Etablissement cantonal d’assurance (ECA) était compétent pour statuer sur l’autorisation spéciale. L’abrogation de cette disposition n’a toutefois pas modifié les compétences légales attribuées à l’ECA dans le domaine des constructions exposées aux dangers d’incendie et aux dommages causés par les forces naturelles (arrêt AC.2007.0019 du 16 avril 2008 consid. 3b). En conséquence, il appartient à l’ECA d’examiner si la construction projetée est soumise à l’exigence d’une autorisation spéciale au sens de l’art. 120 al. 1 let. b LATC ; dans l’affirmative, et si une telle autorisation pourrait être délivrée, l'autorité cantonale doit alors statuer sur les conditions de situation et de construction, ainsi que sur les éventuelles mesures de surveillance indépendamment des dispositions des plans et règlements communaux d'affectation, et peut s’il y a lieu, fixer les mesures propres à assurer la salubrité et la sécurité ainsi qu'à préserver l'environnement (art. 123 LATC). c) En l’espèce, il ressort des déterminations de l’ECA du 25 mars 2010 que le projet de construction n’est pas localisé dans une zone de terrains instables ou une zone de dangers et qu’il n’est pas soumis à l’exigence d’une autorisation spéciale cantonale au sens de l’art. 120 al. 1 let. b LATC. Par ailleurs, l’ECA a également relevé, dans ses déterminations que la présence d’une nappe phréatique ou d’une source ne nécessitait pas impérativement une étude géologique ou géotechnique au sens de l’art. 89 LATC. En effet, une telle étude n’est requise par l’ECA que si la présence de la nappe ou de la source avait des conséquences avérées ou potentielles en matière d’instabilité, cette instabilité étant alors répertoriée dans les cartes de dangers de glissement de terrain. Or, le secteur en cause ne fait précisément pas partie des zones de dangers ou de glissement.  Il ne nécessite ni une autorisation spéciale au sens de l’art. 120 al. 1 let. b LATC, ni le dépôt d’un rapport géologique. Le tribunal n’a pas de raison de s’écarter de cette appréciation. En outre, les investigations et les travaux nécessaires à la réalisation d'une étude géologique et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le coût de telles études, qui seraient engagées avant que le droit de construire ne soit attesté par le permis de construire, est disproportionné (arrêts AC.2006.0098 du 29 décembre 2006 consid. 5c et AC.1995.0157 du 24 décembre 1997 consid. 1c). Si une étude géotechnique est requise par l’ECA, ce qui n’est pas le cas en l’espèce, il appartiendrait alors à la municipalité de s'assurer que les conditions fixées par l'ECA sont respectées. Elle doit en effet exiger lors du dépôt de l’avis de début des travaux (art. 125 LATC) la production du rapport géologique et avant de statuer sur le permis d’habiter (art. 129 LATC), la production des attestations concernant la réalisation des travaux prévus par le rapport géologique (arrêt précité AC.2006.0098 du 29 décembre 2006 consid. 5c).</w:t>
      </w:r>
    </w:p>
    <w:p>
      <w:r>
        <w:rPr>
          <w:b/>
        </w:rPr>
        <w:t>E. 3</w:t>
      </w:r>
    </w:p>
    <w:p>
      <w:r>
        <w:t>Le recourant estime que la présence des sources nécessiterait des mesures de protection relevant du droit public. a) L'art. 19 al. 1 de la loi fédérale du 24 janvier 1991 sur la protection des eaux (LEaux; RS 814.20) impose aux cantons de subdiviser leur territoire en secteurs de protection en fonction des risques auxquels sont exposées les eaux superficielles et les eaux souterraines; les prescriptions nécessaires sont édictées par le Conseil fédéral. L'art. 20 al. 1 LEaux prévoit que les cantons doivent délimiter des zones de protection autour des captages et des installations d'alimentation artificielle des eaux souterraines d'intérêt public, en fixant les restrictions nécessaires au droit de propriété. L'art. 21 al. 1 LEaux prescrit par ailleurs aux cantons de délimiter les périmètres importants pour l'exploitation et l'alimentation artificielle futures des nappes souterraines; dans ces périmètres, il est interdit de construire des bâtiments, d'aménager des installations ou d'exécuter des travaux qui pourraient compromettre l'établissement futur d'installations servant à l'exploitation ou à l'alimentation artificielle des eaux souterraines. L'ordonnance fédérale sur la protection des eaux du 28 octobre 1998 (OEaux; RS 814.201) prévoit des mesures d'organisation du territoire relatives aux eaux. Selon l’art. 29 al. 1 OEaux, lorsque les cantons subdivisent leur territoire en secteurs de protection des eaux (art. 19 LEaux), ils distinguent les secteurs particulièrement menacés des autres secteurs (désignés u B); les secteurs particulièrement menacés comprennent le secteur A u de protection des eaux, destiné à protéger les eaux souterraines exploitables (let. a) ainsi que le secteur A o de protection des eaux, destiné à protéger la qualité des eaux superficielles (let. b); les cantons déterminent aussi les aires d’alimentation Z u , destinées à protéger la qualité des eaux qui alimentent des captages d’intérêt public existants et prévus (let. c), ainsi que les aires d’alimentation Z o , destinée à protéger la qualité des eaux superficielles, si l’eau est polluée par des produits phytosanitaires ou des éléments fertilisants entraînés par ruissellement (let. d). L'art. 29 al. 2 OEaux impose aux cantons de délimiter les zones S en vue de protéger les eaux du sous sol qui alimentent notamment des captages. L'annexe 4 OEaux précise les mesures d'organisation du territoire relatives aux zones S de protection des eaux. Selon le chiffre 12 annexe 4 OEaux, les zones de protection des eaux souterraines comprennent : -     la zone de captage (zone S1) [ch. 122 annexe 4 OEaux] ; -     la zone de protection rapprochée (zone S2) [ch. 123 annexe 4 OEaux] ; -     la zone de protection éloignée (zone S3) [ch. 124 annexe 4 OEaux] . b) Le canton de Vaud a introduit les bases légales nécessaires à la création des zones de protection des eaux en modifiant le 18 décembre 1989 les art. 62 à 64 de la loi sur la protection des eaux contre la pollution du 17 septembre 1974 (LPEP; RSV 814.31, voir l'exposé des motifs du Conseil d'Etat in BGC 1989 p. 305). L'art. 62 LPEP définit la procédure applicable à la délimitation des secteurs de protection des eaux et l’art. 62a LPEP précise les obligations de coordination entre les tâches relatives à la délimitation des secteurs de protection des eaux et celles concernant l’aménagement du territoire (al. 1); cette disposition règle aussi la situation où une demande de permis de construire est refusée dans un secteur de protection des eaux (al. 2 et 3). L’art. 63 LPEP précise enfin la procédure applicable à l’adoption des zones de protection des eaux S1, S2 et S3 en appliquant par analogie la procédure d’adoption des plans d’affectation cantonaux (art. 63 al. 6 LPEP). c) En l'espèce, le projet litigieux n'est pas situé dans une zone S de protection des eaux souterraines. Il se trouve dans les autres secteurs (uB) qui ne présentent qu'un intérêt modeste pour l'approvisionnement en eau et qui ne font pas partie des secteurs particulièrement menacés (A u et A o ) au sens de l’art. 29 al. 1 OEaux. Les deux sources situées sur la parcelle 213 ne sont pas reliées au réseau communal et ne le seront pas à l'avenir; les eaux recueillies par ces sources sont utilisées pour les seuls besoins du recourant; elles ne présentent pas un caractère d’intérêt public qui nécessiterait la mise en œuvre des mesures de protection des eaux souterraines, requises par l’art. 20 al. 1 LEaux. Le réseau d'eau communal est en effet alimenté par une nappe souterraine, captée à proximité du port, située au dessous du niveau du fond du Lac. Il n’y a donc pas d’obligation légale de délimiter des zones de protection des eaux en relation avec l’exploitation de ce captage. Selon l’avis délivré par l’Hydrogéologue cantonal, repris dans la synthèse CAMAC du 24 novembre 2008, la construction projetée n’est pas de nature à porter préjudice à la protection des eaux souterraines d’intérêt public, et elle ne nécessite pas de mesures de protection relevant du droit public.</w:t>
      </w:r>
    </w:p>
    <w:p>
      <w:r>
        <w:rPr>
          <w:b/>
        </w:rPr>
        <w:t>E. 4</w:t>
      </w:r>
    </w:p>
    <w:p>
      <w:r>
        <w:t>Le recourant estime aussi que la procédure d’autorisation de construire devrait être suspendue jusqu’à droit jugé sur la modification du plan général d’affectation concernant la délimitation de l’aire forestière. a) Dans le cadre d’une procédure de révision de du plan général d’affectation communal portant notamment sur la délimitation de l’aire forestière contiguë à la zone à bâtir, la municipalité a soumis à l’enquête publique du 29 avril au 29 mai 2005 une modification de la délimitation de la lisière sur la parcelle 213. Albert Nehama s’est opposé à la nouvelle délimitation de la lisière le 27 mai 2005 et il a demandé qu’il soit procédé à une décision de constatation de nature forestière. A la suite d’une première audition des opposants le 26 octobre 2005, le Service des forêts de la faune et de la nature a procédé à une inspection locale le 1er mai 2006 en présence des parties; après l’inspection locale, une modification du plan ayant fait l’objet de la première enquête en 2005 a été soumise à une enquête publique complémentaire, ouverte du 13 septembre au 13 octobre 2008. Albert Nehama a formé une opposition le 19 septembre 2008 aux modifications faisant l’objet de l’enquête complémentaire. Le Service des forêts, de la faune et de la nature a rendu le 28 janvier 2009 une décision de constatation de nature forestière. Mais cette décision n’a pas encore été notifiée aux parties, la notification étant prévue dans le cadre de l’approbation préalable du plan général d’affectation. C’est ainsi que la limite de l’aire forestière, telle qu’elle résulte à la fois du plan général d’affectation en vigueur et de la délimitation cadastrale, est toujours déterminante. Or, la rampe d’accès au parking souterrain du bâtiment B se rapproche à une distance de 5 m environ de la limite de la lisière. b) Selon l’art. 5 al. 1 LvFo, l’implantation de constructions à moins de 10 m de la lisière de la forêt est interdite. L’alinéa 2 de cette disposition prévoit toutefois la possibilité d’autoriser des dérogations lorsque les conditions suivantes sont réunies : la construction ne peut être édifiée ailleurs qu’à l’endroit prévu (let. a); l’intérêt à sa réalisation l’emporte sur la protection de l’aire forestière (let. b); il n’en résulte pas de sérieux dangers pour l’environnement (let. c); l’aménagement des zones limitrophes répond aux conditions de l’art. 6 de la présente loi (let. d). Lors de l'examen de l'octroi d'une dérogation au sens de l'art. 5 al. 2 LvFo, le Service des forêts, de la faune et de la nature doit comparer l'intérêt public au maintien de la distance de 10 m visant à protéger la forêt et l'intérêt privé du particulier à l'octroi de cette dérogation. La jurisprudence a précisé à cet égard que l'intérêt public à la conservation de la forêt revêtait en principe une importance prépondérante aux seuls intérêts de convenance personnelle des particuliers (arrêt TA AC.2001.0090 du 27 mai 2002). C'est dans le cadre d'une pesée complète de tous les intérêts en présence qu'il convient donc de déterminer si l'octroi de la dérogation se justifie. Par exemple, le tribunal a jugé admissible une dérogation à la distance de 10 m à la lisière pour l’aménagement d’un accès au Manoir de Ban sur le territoire de la Commune de Corsier, en vue de la réalisation du Musée Chaplin. Deux autres variantes d’accès au parking avaient été étudiées, mais présentaient des inconvénients plus importants, touchant à la fois la surface forestière ou portant atteinte à la construction existante, mise à l’inventaire, alors que la variante retenue présentait l’avantage de préserver ces éléments tout en facilitant l’accès aux premières aires de stationnement. Une dérogation au sens de l’art. 5 al. 2 LvFo était ainsi admissible (arrêt AC.2006.0305 du 28 décembre 2007). c) Il convient donc de déterminer si les conditions d’une dérogation à la distance de 10 m à la lisière sont remplies. A cet égard, le Centre de conservation de la faune et de la nature s’est déterminé de la manière suivante dans la synthèse de la Centrale des autorisations (CAMAC) du 24 novembre 2008: « Les travaux empiètent légèrement dans la zone inconstructible en bordure de la forêt. Cet espace de transition constitue un milieu favorable à la faune et à la flore. A cet égard, le projet nécessite une autorisation au sens des articles 18 LPN, 4 a) LPNMS et 22 Lfaune. Considérant que les futures constructions s’implantent dans la distance légale par rapport à la forêt, le CFFN autorise les travaux aux conditions suivantes: La lisière de la forêt devra être préservée de toute atteinte et pression supplémentaire. A cet égard, les conditions émises par l’Inspection des forêts, seront prises en compte. Une barrière de chantier sera posée avant le début des travaux. A la fin des travaux, la zone de lisière sera maintenue en herbe, sans aucun aménagement ou dépôt. Cet espace sera géré de manière extensive (fauche de préférence tardive, pas d’engrais ni herbicide ou insecticide). » Une lisière de forêt présente en effet un intérêt important du point de vue de la protection de la nature. La lisière est une structure de transition entre l’habitat typiquement forestier et celui des espaces de prairies ou ruraux; elle est plus riche en espèce que l’intérieur même de la forêt et présente ainsi un remarquable potentiel de diversité biologique ( John Aubert , La protection des lisières en droit fédéral et en droit vaudois, in RDAF 1998 I p. 2). La lisière peut ainsi répondre à la notion de biotope d’importance locale ou régionale au sens des l’art. 18 al. 1bis et 18b de la loi fédérale sur la protection de la nature du 1er juillet 1966 (LPN ; RS 451); elle fait partie en effet des milieux qui jouent un rôle important dans l’équilibre naturel et présentent des conditions particulièrement favorables pour les biocénoses, comme c’est le cas pour les haies vives ( John Aubert , op. cit. in  RDAF 1998 I p. 22-23). C’est la raison pour laquelle de Centre de conservation de la faune et de la nature soumet à juste titre les travaux prévus dans l’espace de protection des lisières défini par les art. 17 de la loi fédérale sur les forêts du 4 octobre 1991 (LFo ; RS 9211.0) et 5 al. 1 LvFo, à l’autorisation spéciale prévue par les art. 4a de la loi sur la protection de la nature des monuments et des sites du 10 décembre 1969 (LPNMS RSV 450.11) et 22 de la loi du 28 février 1989 (LFaune; RSV 922.03), en plus de l’autorisation dérogatoire du département en charge du Service des forêts de la faune et de la nature prévue par l’art. 5 al. 2 LvFo. d) En l’espèce, le Service des forêts de la faune et de la nature a estimé, dans ses déterminations du 26 mars 2010, qu’une dérogation n’était pas nécessaire en raison de la nouvelle délimitation de l’aire forestière résultant de la décision de constatation de l’aire forestière du 29 janvier 2009. Toutefois, comme la nouvelle délimitation de l’aire forestière n’est pas encore en vigueur, il appartient au tribunal de statuer sur les conditions d’octroi de la dérogation prévue par l’art. 5 al. 2 LvFo. A cet égard, le tribunal observe que l’organisation de l’accès au parking souterrain du bâtiment B n’est pas aisée et la solution envisagée par le côté nord-est apparaît la plus rationnelle. En outre, la dérogation à la distance de 10 m à la lisière ne concerne que la rampe d’accès au parking et elle ne vise qu’un secteur restreint de la forêt, qui s’avance comme la pointe d’un triangle en direction de la rampe, avec une distance de l’ordre de 5 m. à l’extrémité de la pointe; en outre,  le bâtiment principal est implanté à plus de 15 m. de la même pointe. De plus le Centre de Conservation de la faune et de la nature a posé les conditions nécessaires au respect des exigences liées à la fonction qualitative de la lisière, comme biotope digne de protection au sens des art. 18b et 18 al. 1bis LPN. Compte tenu de l’ensemble de ces circonstances, le tribunal estime en définitive que les conditions d’octroi de la dérogation sont remplies.</w:t>
      </w:r>
    </w:p>
    <w:p>
      <w:r>
        <w:rPr>
          <w:b/>
        </w:rPr>
        <w:t>E. 5</w:t>
      </w:r>
    </w:p>
    <w:p>
      <w:r>
        <w:t>Le recourant se plaint également du défaut de motivation de la décision attaquée. a) Le droit d’être entendu garanti par l’art. 29 al. 2 de la Constitution fédérale de la Confédération suisse du 18 avril 1999 (Cst. RS 101) comprend notamment l’obligation pour les autorités de motiver leurs décisions. La motivation doit alors être suffisante pour permettre à la personne touchée par la décision d’attaquer celle-ci à bon escient (ATF 125 II 369 consid. 2c p. 372).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121 I 54 consid. 2c p. 57). L’autorité n’est donc pas tenue de discuter de manière détaillée tous les arguments soulevés par les parties ni de réfuter expressément chacun de ceux-ci (ATF 129 I 232 consid. 3.2 p. 236 et les références citées). b) En l’espèce, il est vrai que la décision municipale ne répond pas de manière détaillée à l’ensemble des critiques formulées par le recourant dans son opposition du 13 octobre 2008; toutefois, la municipalité s’est déterminée sur chacun des points qui ont été soulevés par le recourant, lequel a ainsi eu la possibilité de formuler les griefs qu’il entendait faire valoir à l’encontre de cette décision, dans le cadre du recours qu’il a interjeté auprès de la Cour de droit administratif et public. Ainsi, les exigences de motivation, telles qu’elles sont précisées par la jurisprudence, sont satisfaites.</w:t>
      </w:r>
    </w:p>
    <w:p>
      <w:r>
        <w:rPr>
          <w:b/>
        </w:rPr>
        <w:t>E. 6</w:t>
      </w:r>
    </w:p>
    <w:p>
      <w:r>
        <w:t>Le recourant se plaint encore de n’avoir pas pu consulter l’intégralité du dossier, par le fait que la municipalité l’aurait invité à prendre contact avec le bureau d’architecture, qui était susceptible de fournir tous les plans. Toutefois, la commune a produit le dossier complet de la cause au tribunal, que le recourant avait la possibilité de consulter s’il le souhaitait. Ainsi, l’ensemble des pièces nécessaires a été produit, et le recourant pouvait demander que le dossier complet lui soit transmis et il avait également la faculté de venir le consulter au tribunal. Enfin, la production du dossier de la révision du plan général d’affectation n’est pas nécessaire, puisque le tribunal a statué sans tenir compte de la modification contestée de l’aire forestière.</w:t>
      </w:r>
    </w:p>
    <w:p>
      <w:r>
        <w:rPr>
          <w:b/>
        </w:rPr>
        <w:t>E. 7</w:t>
      </w:r>
    </w:p>
    <w:p>
      <w:r>
        <w:t>Il résulte des considérants qui précèdent que le recours doit être rejeté dans la mesure où il est recevable et la décision municipale maintenue. Au vu de ce résultat, il y a lieu de mettre les frais de justice à la charge du recourant à raison de 1'500 francs. La municipalité et le constructeur qui obtiennent gain de cause, et qui ont consulté chacun un homme de loi, ont droit aux dépens qu’ils ont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