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AC.2009.0303 vom 11. August 2010</w:t>
      </w:r>
    </w:p>
    <w:p>
      <w:r>
        <w:t>VD Tribunal cantonal, 2010-08-11, FR</w:t>
      </w:r>
    </w:p>
    <w:p>
      <w:r>
        <w:rPr>
          <w:b/>
        </w:rPr>
        <w:t xml:space="preserve">Quelle: </w:t>
      </w:r>
      <w:r>
        <w:t>https://mcp.opencaselaw.ch/entscheid/vd_omni_AC.2009.0303</w:t>
      </w:r>
    </w:p>
    <w:p>
      <w:r>
        <w:t>FR: VD_OMNI AC.2009.0303 du 11 août 2010</w:t>
      </w:r>
    </w:p>
    <w:p>
      <w:r>
        <w:t>IT: VD_OMNI AC.2009.0303 del 11 agosto 2010</w:t>
      </w:r>
    </w:p>
    <w:p>
      <w:pPr>
        <w:pStyle w:val="Heading2"/>
      </w:pPr>
      <w:r>
        <w:t>Regeste</w:t>
      </w:r>
    </w:p>
    <w:p>
      <w:r>
        <w:t>WYDER/Municipalité du Mont-sur-Lausanne,PACHON, GRIBI WHITTLI | Lorsque le règlement communal permet l'octroi de dérogations "dans le cadre de l'application des dispositions de l'OPB", il est douteux qu'on puisse en tirer la conclusion qu'en dehors de l'hypothèse où la collectivité publique aurait l'obligation de procéder à un assainissement de l'installation bruyante, les dérogations devraient être refusées aux propriétaires qui souhaitent prendre à leurs frais des mesures de protection contre le bruit. En tous les cas, lorsque les façades d'un bâtiment existant, situé en zone d'habitation en principe soumise au degré de sensibilité II, ont été déclassées en degré de sensibilité III parce qu'elles sont déjà exposées au bruit routier, il serait contraire au principe de prévention que la municipalité refuse d'envisager une dérogation pour le motif qu'en raison du déclassement en degré de sensibilité III, le bruit auquel les façades sont exposées ne dépassent pas les valeurs limite de ce degré-là.</w:t>
      </w:r>
    </w:p>
    <w:p>
      <w:pPr>
        <w:pStyle w:val="Heading2"/>
      </w:pPr>
      <w:r>
        <w:t>Erwägungen</w:t>
      </w:r>
    </w:p>
    <w:p>
      <w:r>
        <w:rPr>
          <w:b/>
        </w:rPr>
        <w:t>E. 1</w:t>
      </w:r>
    </w:p>
    <w:p>
      <w:r>
        <w:t>Dans les zones d’affectation selon les art. 14 et suivants de la loi fédérale du 22 juin 1979 sur l’aménagement du territoire, les degrés de sensibilité suivants sont à appliquer: a.    le degré de sensibilité I dans les zones qui requièrent une protection accrue contre le bruit, notamment dans les zones de détente; b.    le degré de sensibilité II dans les zones où aucune entreprise gênante n’est autorisée, notamment dans les zones d’habitation ainsi que dans celles réservées à des constructions et installations publiques; c.    le degré de sensibilité III dans les zones où sont admises des entreprises moyennement gênantes, notamment dans les zones d’habitation et artisanales (zones mixtes) ainsi que dans les zones agricoles; d.    le degré de sensibilité IV dans les zones où sont admises des entreprises fortement gênantes, notamment dans les zones industrielles.</w:t>
      </w:r>
    </w:p>
    <w:p>
      <w:r>
        <w:rPr>
          <w:b/>
        </w:rPr>
        <w:t>E. 2</w:t>
      </w:r>
    </w:p>
    <w:p>
      <w:r>
        <w:t>Vu ce qui précède, il y a lieu d'annuler la décision attaquée est de renvoyer le dossier à la municipalité pour complément d'instruction et nouvelle décision. Il appartiendra à la municipalité d'examiner de manière complète l'application du règlement communal, en particulier celle des dispositions invoquées dans sa réponse au recours (articles 41, 42,43 et 75) afin de déterminer si et dans quelle mesure le projet litigieux y contrevient, puis de décider si des dérogations peuvent être accordées au constructeur, que ce soit sur la base des règles dérogatoires particulières contenues dans ces dispositions, ou sur la base de la clause dérogatoire de l'article 56 du règlement communal.</w:t>
      </w:r>
    </w:p>
    <w:p>
      <w:r>
        <w:rPr>
          <w:b/>
        </w:rPr>
        <w:t>E. 3</w:t>
      </w:r>
    </w:p>
    <w:p>
      <w:r>
        <w:t>Pour le surplus, il conviendra que l'autorité compétente désignée par les dispositions des articles 3 et 32 de la loi sur les routes du 10 décembre 1991 (LRou, RSV 725. 01) statue sur l'application éventuelle des dispositions (certaines sont invoquées par l'opposante Gribi) en rapport avec la distance à la route que doivent observer les bâtiments et leurs annexes (article 36 LRou), les constructions souterraines et les dépendances de peu d'importance (article 37 LRou) ainsi que les aménagements extérieurs (article 39 LRou), sans oublier la question de la création de deux nouveaux accès à la route cantonale (article 32 LRou). Il n'y a pas lieu que le tribunal examine en l'état l'application de ces dispositions et de ces règles de compétence.</w:t>
      </w:r>
    </w:p>
    <w:p>
      <w:r>
        <w:rPr>
          <w:b/>
        </w:rPr>
        <w:t>E. 4</w:t>
      </w:r>
    </w:p>
    <w:p>
      <w:r>
        <w:t>Le recourant, qui procède seul, demande dans son recours l'octroi du permis de construire correspondant à son dossier du 18 juin 2009. Il résulte toutefois de son argumentation que l'essentiel du litige concerne la création du mur antibruit. Pour ce qui concerne les autres travaux mis à l'enquête publique, la situation n'est pas particulièrement claire: la décision du 3 décembre 2009 laisse entrevoir que "le permis de construire le garage en sous-sol pourrait être octroyé avec implantation conforme au plan admis par le Service des forêts" , mais il résulte de la lettre de la municipalité du 17 décembre 2009 que cette autorité "annule la décision d'octroi du permis de construire" . Il appartiendra donc à la municipalité de statuer encore sur le solde des travaux mis à l'enquête.</w:t>
      </w:r>
    </w:p>
    <w:p>
      <w:r>
        <w:rPr>
          <w:b/>
        </w:rPr>
        <w:t>E. 5</w:t>
      </w:r>
    </w:p>
    <w:p>
      <w:r>
        <w:t>Vu ce qui précède, le recours est partiellement admis, sans frais pour le recourant ni dépens en faveur de l'opposante.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