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AC.2009.0292 vom 24. Juni 2010</w:t>
      </w:r>
    </w:p>
    <w:p>
      <w:r>
        <w:t>VD Tribunal cantonal, 2010-06-24, FR</w:t>
      </w:r>
    </w:p>
    <w:p>
      <w:r>
        <w:rPr>
          <w:b/>
        </w:rPr>
        <w:t xml:space="preserve">Quelle: </w:t>
      </w:r>
      <w:r>
        <w:t>https://mcp.opencaselaw.ch/entscheid/vd_omni_AC.2009.0292</w:t>
      </w:r>
    </w:p>
    <w:p>
      <w:r>
        <w:t>FR: VD_OMNI AC.2009.0292 du 24 juin 2010</w:t>
      </w:r>
    </w:p>
    <w:p>
      <w:r>
        <w:t>IT: VD_OMNI AC.2009.0292 del 24 giugno 2010</w:t>
      </w:r>
    </w:p>
    <w:p>
      <w:pPr>
        <w:pStyle w:val="Heading2"/>
      </w:pPr>
      <w:r>
        <w:t>Regeste</w:t>
      </w:r>
    </w:p>
    <w:p>
      <w:r>
        <w:t>VUILLEMIER/Municipalité de Gilly, DELEVAUX | La pratique municipale selon laquelle toute construction située à moins de 6 m de la limite doit recueillir l'aval des propriétaires voisins n'est pas conforme à la loi: l'art. 39 RLATC oblige la municipalité a fait usage de son pouvoir d'appréciation en mettant en balance l'intérêt du constructeur à disposer de l'installation prévue à l'endroit projeté, et l'intérêt opposé des voisins à se prémunir contre les inconvénients de l'installation litigieuse. Projet de piscine en zone villas, admis car il n'expose pas les voisins à un préjudice excessif dans une zone de villas qui est de toute manière particulièrement dense.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défaut de dispositions communales contraires, les municipalités peuvent autoriser la construction de dépendances de peu d'importance, dont l'utilisation est liée à l'occupation du bâtiment principal, dans les espaces réglementaires entre bâtiments ou entre bâtiments et limites de propriété.</w:t>
      </w:r>
    </w:p>
    <w:p>
      <w:r>
        <w:rPr>
          <w:b/>
        </w:rPr>
        <w:t>E. 2</w:t>
      </w:r>
    </w:p>
    <w:p>
      <w:r>
        <w:t>Par dépendances de peu d'importance, on entend des constructions distinctes du bâtiment principal, sans communication interne avec celui-ci et dont le volume est de peu d'importance par rapport à celui du bâtiment principal, telles que pavillons, réduits de jardin ou garages particuliers pour deux voitures au plus. Ces dépendances ne peuvent en aucun cas servir à l'habitation ou à l'activité professionnelle.</w:t>
      </w:r>
    </w:p>
    <w:p>
      <w:r>
        <w:rPr>
          <w:b/>
        </w:rPr>
        <w:t>E. 3</w:t>
      </w:r>
    </w:p>
    <w:p>
      <w:r>
        <w:t>Ces règles sont également valables pour d'autres ouvrages que des dépendances proprement dites: murs de soutènement, clôtures, places de stationnement à l'air libre notamment.</w:t>
      </w:r>
    </w:p>
    <w:p>
      <w:r>
        <w:rPr>
          <w:b/>
        </w:rPr>
        <w:t>E. 4</w:t>
      </w:r>
    </w:p>
    <w:p>
      <w:r>
        <w:t>Ces constructions ne peuvent être autorisées que pour autant qu'elles n'entraînent aucun préjudice pour les voisins.</w:t>
      </w:r>
    </w:p>
    <w:p>
      <w:r>
        <w:rPr>
          <w:b/>
        </w:rPr>
        <w:t>E. 5</w:t>
      </w:r>
    </w:p>
    <w:p>
      <w:r>
        <w:t>Les considérants qui précèdent conduisent à l'admission du recours et à la réforme de la décision énoncée en ce sens que le permis de construire demandé est délivré aux conditions réservées par cette décision. Les frais du présent arrêt sont mis à la charge de l'autorité intimée qui a renoncé à tort à faire usage de son pouvoir d'appréciation (art. 49 al. 1 LPA-VD). L'autorité intimée versera en outre aux recourants des dépens pour la participation aux honoraires de leur conseil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