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AC.2009.0170 vom 13. November 2014</w:t>
      </w:r>
    </w:p>
    <w:p>
      <w:r>
        <w:t>VD Tribunal cantonal, 2014-11-13, FR</w:t>
      </w:r>
    </w:p>
    <w:p>
      <w:r>
        <w:rPr>
          <w:b/>
        </w:rPr>
        <w:t xml:space="preserve">Quelle: </w:t>
      </w:r>
      <w:r>
        <w:t>https://mcp.opencaselaw.ch/entscheid/vd_omni_AC.2009.0170</w:t>
      </w:r>
    </w:p>
    <w:p>
      <w:r>
        <w:t>FR: VD_OMNI AC.2009.0170 du 13 novembre 2014</w:t>
      </w:r>
    </w:p>
    <w:p>
      <w:r>
        <w:t>IT: VD_OMNI AC.2009.0170 del 13 novembre 2014</w:t>
      </w:r>
    </w:p>
    <w:p>
      <w:pPr>
        <w:pStyle w:val="Heading2"/>
      </w:pPr>
      <w:r>
        <w:t>Regeste</w:t>
      </w:r>
    </w:p>
    <w:p>
      <w:r>
        <w:t>LO BERNARDO, BERNARDO/Municipalité de Préverenges, Direction générale de l'environnement | Décision de constatation de la nature forestière: la jurisprudence admet que la délimitation de l'aire forestière peut impliquer la prise en compte de surfaces défrichées sans autorisation; tel est le cas du peuplement concerné, de plus de 800 m2, entretenu sous forme de parc, qui doit ainsi être considéré comme forêt. Recours rejeté. Recours au Tribunal fédéral rejeté par arrêt du 13 novembre 2014 (ATF 1C_187/2014).</w:t>
      </w:r>
    </w:p>
    <w:p>
      <w:pPr>
        <w:pStyle w:val="Heading2"/>
      </w:pPr>
      <w:r>
        <w:t>Erwägungen</w:t>
      </w:r>
    </w:p>
    <w:p>
      <w:r>
        <w:rPr>
          <w:b/>
        </w:rPr>
        <w:t>E. 1</w:t>
      </w:r>
    </w:p>
    <w:p>
      <w:r>
        <w:t>Les recourants ne contestent la décision attaquée que dans la mesure où  celle-ci soumet au régime forestier le secteur</w:t>
      </w:r>
    </w:p>
    <w:p>
      <w:r>
        <w:rPr>
          <w:b/>
        </w:rPr>
        <w:t>E. 4</w:t>
      </w:r>
    </w:p>
    <w:p>
      <w:r>
        <w:t>En l'occurrence, s'agissant de la délimitation forestière du secteur 4, dont la surface est très nettement supérieure à 800 m 2 , il ressort de la décision qu'il " ne reste que très peu d'espèces ligneuses. La rangée de résineux a été supprimée, et il reste  quelques noyers et un chêne. Ce secteur a, depuis de nombreuses années, été traité comme un parc, ce qui a engendré une modification de la végétation notamment herbacée et arbustive (..) son aspect actuel résultant de travaux d'entretien importants (…) ". Cela est confirmé par le rapport d'expertise du 4 juin 2008, dans lequel Tecnat SA relève que, bien que le secteur 4 soit désigné comme forêt sur le plan cadastral, cette surface est entretenue depuis longtemps sous forme de parc arborisé et qu'il ne paraît donc pas justifié de soumettre au régime forestier des boisés (p. 6). Le rapport d’expertise établi le 20 août 2008 par Patrick Chevrier, ingénieur forestier, confirme ces conclusions. Lors de l'inspection locale, la cour de céans a effectivement constaté  que le secteur 4 ne contenait qu'une dizaine d'arbres d'essence forestière. Il n'est pas contesté qu'une grosse coupe de bois a été autorisée en 2007 dans le secteur 4. Selon les pièces du dossier, et en particulier les photographies aériennes de la parcelle n° 409, le secteur concerné était toutefois, en tout cas jusqu'en 1986, recouvert d'une végétation beaucoup plus dense, composée d'essences forestières. Autrement dit, il est établi que la disparition du peuplement forestier est relativement récente (moins de 30 ans) et qu'elle résulte d'un entretien trop intensif depuis 1986. S'il est vrai que le déboisement a fait l'objet d'un permis de coupe en 2007, il n'a néanmoins pas été soumis à une procédure d'autorisation de défrichement en bonne et due forme. Selon la jurisprudence, la délimitation de l'aire forestière peut impliquer la prise en compte de surfaces dépourvues de boisement, lorsqu'il apparaît qu'un défrichement a eu lieu sans autorisation (ATF 124 II 85 consid. 4d p. 92; TF 1C_460/2012 du 25 novembre 2013; 1C_319/2007 du 8 janvier 2008; 1A.223/2005 du</w:t>
      </w:r>
    </w:p>
    <w:p>
      <w:r>
        <w:rPr>
          <w:b/>
        </w:rPr>
        <w:t>E. 6</w:t>
      </w:r>
    </w:p>
    <w:p>
      <w:r>
        <w:t>avril 2006). En effet, la suppression du couvert forestier sans qu'une autorisation de défricher ait été délivrée par l'autorité compétente ne modifie pas son caractère forestier. Ainsi, tant que la procédure de défrichement n'a pas été menée à chef et approuvée par l'autorité compétente, le sol forestier reste soumis à l'affectation forestière (cf. ATF 124 II 85 consid. 4d p. 92; TF 1A.223/2005 du 6 avril 2006; ATF 108 Ib 377 consid. 1; ATF 106 Ib 144 consid. 4; voir aussi AC.2010.0166 du 26 janvier 2012). En conclusion, le secteur 4 tel que délimité par la décision attaquée - d'une surface très nettement supérieure à 800 m 2 - doit être soumis au régime forestier, d'autant plus que ce secteur ne se trouve pas dans la zone à bâtir, mais dans la "zone intermédiaire" (zone inconstructible) et, qui plus est, dans une zone protégée (périmètre 2 "Les couloirs de la Venoge et du Veyron" selon le Plan de protection de la Venoge). 5. Il résulte de ce qui précède que le recours doit être rejeté et la décision entreprise confirmée. Succombant, les recourants doivent supporter un émolument judiciaire et n'ont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