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AC.2009.0147 vom 11. Juni 2010</w:t>
      </w:r>
    </w:p>
    <w:p>
      <w:r>
        <w:t>VD Tribunal cantonal, 2010-06-11, FR</w:t>
      </w:r>
    </w:p>
    <w:p>
      <w:r>
        <w:rPr>
          <w:b/>
        </w:rPr>
        <w:t xml:space="preserve">Quelle: </w:t>
      </w:r>
      <w:r>
        <w:t>https://mcp.opencaselaw.ch/entscheid/vd_omni_AC.2009.0147</w:t>
      </w:r>
    </w:p>
    <w:p>
      <w:r>
        <w:t>FR: VD_OMNI AC.2009.0147 du 11 juin 2010</w:t>
      </w:r>
    </w:p>
    <w:p>
      <w:r>
        <w:t>IT: VD_OMNI AC.2009.0147 del 11 giugno 2010</w:t>
      </w:r>
    </w:p>
    <w:p>
      <w:pPr>
        <w:pStyle w:val="Heading2"/>
      </w:pPr>
      <w:r>
        <w:t>Regeste</w:t>
      </w:r>
    </w:p>
    <w:p>
      <w:r>
        <w:t>VIQUERAT, LAMBERT, QUAGLIA, GOSSELIN-SULLIGER, WEBER-BOLLY/Municipalité de Montreux, Service Immeubles, Patrimoine et Logistique, Service de la mobilité, Service du développement territorial, Service des eaux, sols et assainissement, Service des routes, SIGE Service Intercommunal de ges | La salle de sports a déjà un impact négatif considérable, au vu de ses importantes dimensions actuelles, sur le site des villas Dubochet, qui est protégé à plusieurs titres. Le rehaussement de 5 m toit du bâtiment provoquerait également une augmentation non négligeable de son volume et ne ferait donc que sérieusement aggraver l'impression de masse qui en découlerait. La protection d'un monument n'est par ailleurs pas pensable sans une protection simultanée de ses abords. Est également d'importance le fait que la salle omnisports se situe à proximité immédiate du lac et au bord d'une rivière et que l'élévation de la salle ne ferait qu'aggraver l'atteinte au site du bord du lac. De plus, contrairement à la STEP, la construction d'une salle omnisports au bord du lac n'est pas imposée par sa destination; une telle salle ne se trouve pas en relation directe avec les activités lacustres. Ce type de bâtiment devrait être situé dans un tout autre lieu que sur les rives du lac. Recours admis.</w:t>
      </w:r>
    </w:p>
    <w:p>
      <w:pPr>
        <w:pStyle w:val="Heading2"/>
      </w:pPr>
      <w:r>
        <w:t>Erwägungen</w:t>
      </w:r>
    </w:p>
    <w:p>
      <w:r>
        <w:rPr>
          <w:b/>
        </w:rPr>
        <w:t>E. 1</w:t>
      </w:r>
    </w:p>
    <w:p>
      <w:r>
        <w:t>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b)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dès lors que la décision n'entraîne aucune diminution de ses droits, ni aggravation de ses obligations (AC.2008.0237 du 17 juillet 2009 consid. 1c p. 6). Les conditions légales posées en matière de qualité pour recourir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p. 15/16; 124 II 293 consid. 3a p. 303; 120 Ib 379 consid. 4c p. 387 et les arrêts cités; voir aussi arrêt 1A.179/1996 du 8 avril 1997 in RDAF 1997 I, p. 242 consid. 3a p. 243). c) En l’espèce, il ne fait aucun doute que Pierre Quaglia et Véronique Gosselin-Sulliger ont la qualité pour recourir. Ils ont en effet pris part à la procédure devant l'autorité précédente, sont propriétaires de parcelles qui, par-delà la Baye de Clarens, se situent juste à l’ouest du bien-fonds où le projet doit prendre place et sont touchés plus que quiconque ou la généralité des administrés dans un intérêt important, résultant de leur situation par rapport à l'objet litigieux. La question est en revanche plus délicate s'agissant des autres recourants, soit Denis Viquerat, Serge Lambert, Paul-André et Elisabeth Weber-Bolly ; les deux derniers précités auraient même retiré leur recours selon les autres recourants. Ce point souffre cependant de rester indécis, dès lors que le recours déposé, selon les formes requises, par Pierre Quaglia et Véronique Gosselin-Sulliger est recevable.</w:t>
      </w:r>
    </w:p>
    <w:p>
      <w:r>
        <w:rPr>
          <w:b/>
        </w:rPr>
        <w:t>E. 2</w:t>
      </w:r>
    </w:p>
    <w:p>
      <w:r>
        <w:t>L’article 77, alinéas 3 à 5, est applicable par analogie, les délais des alinéas 3 et 4 ne courant que dès la communication de la décision de refus. Aux termes de l’article 77 LATC : (…)</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a) L'art. 85 LATC pose le principe de l'octroi de dérogations dans la zone à bâtir. Il a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de charges particulières. » Aux termes de l'art. 96 bis RPA : « La Municipalité peut, aux conditions fixées par l’art. 85, 1er al. LATC, accorder des dérogations de minime importance aux dispositions du présent règlement. » Quant à l’art. 98 RPA, il prévoit ce qui suit : « La Municipalité peut autoriser des dérogations aux prescriptions du présent règlement pour permettre l’édification de bâtiments ou ouvrages d’intérêt public qui, par leur destination ou leur nature, exigent des dispositions particulières. » Selon l’art. 56 nRPGA : « L’art. 85 LATC est applicable. » b) Selon la jurisprudence, l'octroi d'une dérogation suppose une situation exceptionnelle et ne saurait devenir la règle, à défaut de quoi l'autorité compétente pour délivrer des permis de construire se substituerait au législateur cantonal ou communal par le biais de sa pratique dérogatoire (v. notamment ATF 112 Ib 51 consid. 5 p. 53). Il implique une pesée des intérêts publics et privés de tiers au respect des dispositions dont il s'agirait de s'écarter et des intérêts du propriétaire privé requérant l'octroi d'une dérogation; toutefois, des raisons purement économiques ou l'intention d'atteindre la meilleure solution architecturale, ou une utilisation optimale du terrain, ne suffisent pas à elles seules à conduire à l'octroi d'une dérogation (v. notamment AC.2008.0043 du 21 avril 2009 consid. 4b ; AC.2007.0116/ AC.2007.0170 du 30 septembre 2008 consid. 7d; AC.2007.0041 du 5 juillet 2007 consid. 5b/aa et les arrêts cités). La dérogation doit par ailleurs s'inscrire dans le processus de planification défini par le droit fédéral selon lequel la destination du sol est fixée par les plans d'affectation (art. 14 de la loi fédérale du 22 juin 1979 sur l'aménagement du territoire [ LAT; RS 700 ] )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En d'autres termes, la dérogation ne doit pas, en matière d'aménagement du territoire, jouer un rôle relevant de la planification (AC.2005.0045 du 6 juin 2006 consid. 5a ; AC 2001.0263 du 9 juillet 2002 ; AC 2001.0207 du 29 mai 2002; AC.2000.0087 du 6 mars 2001; Peter Hänni, Planungs-, Bau und besonderes Umweltschutzrecht, 5e éd. Berne 2008, p. 198s.; Aldo Zaugg/Peter Ludwig, Kommentar zum Baugesetz des Kantons Bern, 3e éd., partie I, Berne 2007, remarques préliminaires aux art. 26 à 31, no 4, ainsi que art. 19/20, no 18s. et JAB 2000, 268 consid. 2; Ernst Kistler/René Müller, Baugesetz des Kantons Aargau, 2e éd. Brugg 2002, no 4 ad art. 67). Cela a conduit le Tribunal fédéral à considérer que, dans certains cas, l'octroi d'une dérogation était exclu, seule la voie de la planification pouvant être empruntée (ATF 116 Ib 53/54 consid. 3a; v. aussi AC 2001.0263 du 9 juillet 2002; AC 2000.0087 du 6 mars 2002). c) En l’espèce, dès lors que la hauteur sur la corniche doit être mesurée dès le niveau moyen du terrain naturel (cf. consid. 4), celle-ci atteint les 16.33 m, voire 16.53 m si l’on procède au calcul en prenant en compte les points 1 à 8, tels qu’ils figurent sur le plan de situation. Il s’ensuit que la modification projetée dépasse la hauteur autorisée par le RPA de 5.33 m, voire 5.53 m, et même celle que prévoit le nRPGA de 2.33 m, voire 2.53 m. Un tel dépassement des hauteurs maximales est important. L'ampleur d’une telle dérogation a ainsi manifestement les mêmes effets qu'une planification. L'art. 2 LAT ("Obligation d'aménager le territoire") prévoit à son alinéa 2 que la Confédération, les cantons et les communes, lors de l'établissement des plans d'aménagement, tiennent "compte des effets que leurs autres activités peuvent indirectement avoir sur l'organisation du territoire" . Or, les établissements publics ou d'intérêt public peuvent présenter d'importants volumes. C'est précisément pour ce motif, et parce que leur implantation peut être de nature à intéresser une région, voire un canton tout entier, que leurs effets sur le territoire doivent être étudiés au moment de la planification. En tous les cas, le tribunal considère que, compte tenu de ce qui précède, aucune dérogation quant à la hauteur ne saurait en l’occurrence être octroyée. Il s'ensuit que les décisions du 5 juin 2009 doivent, pour ce motif déjà, être annulées.</w:t>
      </w:r>
    </w:p>
    <w:p>
      <w:r>
        <w:rPr>
          <w:b/>
        </w:rPr>
        <w:t>E. 6</w:t>
      </w:r>
    </w:p>
    <w:p>
      <w:r>
        <w:t>Les recourants font par ailleurs valoir que le projet porterait atteinte aussi bien au site protégé des villas Dubochet qu’à l’environnement du site, aux rives du lac notamment. a) Conformément à l'art. 17 LAT relatif aux zones à protéger, les cantons doivent prévoir des mesures de protection notamment pour " les localités typiques, les lieux historiques, les monuments naturels ou culturels "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Selon l'art. 5 al. 1 de la loi fédérale du 1 er juillet 1966 sur la protection de la nature et du paysage (LPN; RS 451), le Conseil fédéral établit, après avoir pris l’avis des cantons, des inventaires d’objets d’importance nationale. L’inscription d’un objet d’importance nationale dans un inventaire fédéral indique que l’objet mérite spécialement d’être conservé intact ou en tout cas d’être ménagé le plus possible, y compris au moyen de mesures de reconstitution ou de remplacement adéquates (art. 6 LPN). b) Selon l'art. 46 al. 1 de la loi du 10 décembre 1969 sur la protection de la nature, des monuments et des sites (LPNMS; RSV 450.11),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La LPNMS prévoit deux types de mesures de protection: l'inventaire des monuments et des sites (art. 12 à 19 et 49 à 51 LPNMS) et le classement comme monument historique ou antiquité (art. 20 à 28 et 52 à 54 LPNMS). Le recensement architectural n'est pas prévu dans la LPNMS. L’art. 30 al. 1 du règlement du 22 mars 1989 d'application de la LPNMS (RLPNMS ; RSV 450.11.1)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 monument d'importance nationale; 2 : monument d'importance régionale ; 3 : objet intéressant au niveau local ; 4 : objet bien intégré ; 5 : objet présentant des qualités et des défauts; 6 : objet sans intérêt; 7 :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La note *2* signifie que le bâtiment présente un intérêt au niveau régional et qu'il mérite d'être conservé dans sa forme et sa substance, mais que l'on peut envisager de cas en cas des modifications qui n'en altèrent pas la substance (p. 15 de la plaquette précitée). Quant à la mise à l'inventaire, elle oblige le propriétaire à annoncer les travaux qu'il envisage au département, qui peut soit autoriser les travaux annoncés, soit ouvrir une enquête en vue du classement de l'objet (art. 16 et 17 LPNMS, par renvoi de l'art. 51 LPNMS). L'objectif poursuivi par l'art. 23 LPNMS (classement) consiste par ailleurs dans la préservation du patrimoine classé, cela dans sa valeur historique, culturelle ou scientifique. L'autorité compétente a d’autre part le pouvoir d'interdire les atteintes graves que pourraient entraîner les travaux, soit celles qui touchent à la substance même de l'objet ou à ses éléments essentiels; elle a en outre la faculté d'autoriser des travaux dont l'impact est moindre et qui peuvent être limités dans leurs effets, par le jeu de charges imposées au constructeur (AC.1998.0145 du 28 mai 1999). Dans un arrêt du 8 février 2006 relatif à un plan partiel d’affectation de la Commune de St-Sulpice régissant un périmètre proche de l’Abbaye (AC.2005.0048), le Tribunal administratif avait par ailleurs rappelé que, selon l a jurisprudence du Tribunal fédéral, la protection efficace d'un monument ou d'un ensemble architectonique de valeur n'était pas pensable sans une protection simultanée de son environnement (ATF 109 Ia 185 et ss). La protection d'un monument implique en effet le maintien et la sauvegarde de l'ensemble comprenant aussi les alentours dignes d'intérêt (ATF 116 Ia 41, consid. 4 p. 44). Dans cette affaire, le tribunal avait retenu qu’il n’était pas douteux ni contesté que le site exceptionnel formé par l'Abbaye du XIème siècle et son Prieuré formait un ensemble qui nécessitait des mesures de protection et de mise en valeur dans leur environnement direct (AC.2005.0048 précité consid. 3a) . Conformément enfin à l’art. 28 RLPNMS, les autorités communales prennent les mesures appropriées pour protéger les paysages, localités ou sites construits dignes d’être sauvegardés selon la loi, en élaborant leurs plans directeurs ou d’affectation ou lorsqu’elles délivrent un permis de construire. c) S’agissant plus particulièrement des rives du lac, conformément à l’art. 17 al. 1 let. a LAT, les zones à protéger comprennent les cours d’eau, les lacs et leurs rives. Au lieu de délimiter des zones à protéger, le droit cantonal peut prescrire d’autres mesures adéquates (art. 17 al. 2 LAT). Dans l’énumération des principes régissant l’aménagement du territoire (art. 3 LAT), l’art. 3 al. 2 let. c LAT prévoit qu’il convient de tenir libres les bords des lacs et des cours d’eau et de faciliter au public l’accès aux rives et le passage le long de celles-ci. Cela ne signifie pas que les lacs et leurs rives doivent, en vertu du droit fédéral, rester libres de constructions ou d’installations. D’après la doctrine, celles-ci peuvent être admises – sur la base d’une autorisation ordinaire au sens de l’art. 22 al. 2 let. a LAT ou au contraire sur la base d’une dérogation selon les art. 24 ss LAT – si leur implantation sur le lac ou sur la rive est justifiée par des intérêts prépondérants ou si elles sont imposée par leur destination (ATF 132 II 10 consid. 2.4, et les références citées). Selon le plan directeur cantonal des rives vaudoises du Lac Léman (année 2000; ci-après: PDRL), la présence de plusieurs secteurs d’urbanisation à moyenne, voire forte densité, entre en conflit avec la volonté exprimée par le législateur de maintenir aussi libres que possible les rives des lacs (p. 9). Le PDLR a notamment pour objectif de proposer des mesures en faveur d’une mise en valeur des qualités de chaque espace riverain dans le souci de maintenir la diversité des activités (p. 41). Ainsi, son option principale en matière d’aménagement du territoire consiste à promouvoir les vocations des rives, qu’elles appartiennent au domaine du tourisme, de l’habitat ou de la nature (p. 41). Il indique par ailleurs que, dans le secteur est, à l’exception du site des Grangettes, la profondeur de rive est très souvent extrêmement réduite ; ponctuellement cependant, des améliorations peuvent être proposées, notamment sur les rares parcelles encore libres de toute construction (p. 42). Il prévoit enfin différentes mesures générales en matière d’aménagement du territoire telles que maintenir, sur tout le pourtour du lac, une faible densité des constructions et orienter le développement et l’aménagement des rives dans le respect de l’histoire de leur occupation, et en tenant compte des activités et aménagements caractéristiques de cet espace (p. 43).</w:t>
      </w:r>
    </w:p>
    <w:p>
      <w:r>
        <w:rPr>
          <w:b/>
        </w:rPr>
        <w:t>E. 7</w:t>
      </w:r>
    </w:p>
    <w:p>
      <w:r>
        <w:t>a) En l’espèce, les villas Dubochet sont sises en zone de faible densité de protection des sites au sens du PA et de l’art. 40 RPA. On peut d’ailleurs noter que, dans le nPGA, elles sont même expressément intégrées dans la zone des villas Dubochet, régie par l’art. 12 nRPGA. L’extérieur des villas, les terrasses ainsi que les barrières et les grilles de portails des jardins sont classés monuments historiques par un arrêté du Conseil d’Etat du 23 février 1979. Les parties non classées sont inscrites à l’inventaire cantonal. Une note *2* a été attribuée à l’ensemble du quartier, plaçant son intérêt au niveau régional. Selon l’ordonnance du 9 septembre 1981 concernant l’inventaire fédéral des sites construits à protéger en Suisse (OISOS ; RS 451.12), un objectif de sauvegarde A est attribué au quartier des villas Dubochet, signifiant la sauvegarde intégrale de la substance ; la ville de Montreux, considérée en tant que cas particulier, figure également dans l’ISOS. Le site en cause est ainsi protégé à plusieurs titres. Ces différentes mesures de protection démontrent son importance historique et architecturale, en particulier en tant qu’élément d’ensemble qu’il convient de protéger. Il sied par ailleurs de relever que la transformation projetée concerne un bâtiment qui se situe à proximité immédiate du lac. Il appartient ainsi à la municipalité de délivrer le permis de construire si elle considère que les conditions qui ressortent de sa compétence, et notamment le respect de l’art. 86 LATC ou de son règlement communal, sont remplies. b)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 363 consid. 3b p. 367; AC.2008.0333 du 15 octobre 2009 consid. 5a ; AC.2008.0281 du 8 juillet 2009 consid. 2a p. 4). Dans ce cadre, l'autorité doit prendre garde à ce que la clause d'esthétique ne vide pas pratiquement de sa substance la réglementation de la zone en vigueur (ATF 115 Ia 114 consid. 3d p. 119; 114 Ia 343 c. 4b p. 345; AC.2008.0333 du 15 octobre 2009 consid. 5a ; AC.2008.0281 du 8 juillet 2009 consid. 2a p. 4; AC.2006.0316 du 14 novembre 2007 consid. 10b p. 11; AC.2002.0195 du 17 février 2006 consid. 2b p. 11; AC.2004.0102 du 6 avril 2005 consid. 1 p. 4). La municipalité peut rejeter un projet sur la base de l'art. 86 LATC, même s’il satisfait par ailleurs à toutes les dispositions applicables. Cependant,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consid. 3a p. 367 et les références citées). Le Tribunal s’impose une certaine retenue dans l'examen de la question de l’esthétique, en ce sens qu'il ne substitue pas son propre pouvoir d'appréciation à celui de l'autorité municipale, mais se borne à sanctionner l'abus ou l'excès du pouvoir d'appréciation, la solution dépendant étroitement des circonstances locales (AC.2006.0316 du 14 novembre 2007 consid. 10b p. 12; AC.2006.0097 du 13 mars 2007 consid. 1b p. 4,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(AC.2008.0281 du 8 juillet 2009 consid. 2a p. 14; AC.2006.0316 du 14 novembre 2007 consid. 10b p. 12; AC.2006.0097 du 13 mars 2007 consid. 1b p. 4). L’art. 76 RPA, de même que les art. 45ss nRPGA, traitent pour leur part également de l’esthétique des constructions et de la protection des sites.</w:t>
      </w:r>
    </w:p>
    <w:p>
      <w:r>
        <w:rPr>
          <w:b/>
        </w:rPr>
        <w:t>E. 8</w:t>
      </w:r>
    </w:p>
    <w:p>
      <w:r>
        <w:t>a) En l’occurrence, dans la synthèse CAMAC du 18 novembre 2008, le SIPAL a en particulier relevé ce qui suit : « Dans la mesure où la pérennité de la salle omnisports à cet emplacement a été décidée par l’autorité communale et que son adaptation à de nouvelles normes s’est avérée une obligation, il était indispensable que le projet de transformation offre des garanties de qualité afin de ne pas péjorer une situation actuellement insatisfaisante architecturalement et urbanistiquement. Par rapport à l’état existant, le projet mis à l’enquête offre une amélioration importante en prévoyant le réaménagement complet des espaces extérieurs, qui sont ainsi clairement requalifiés. Des espaces verts remplacent une grande partie des surfaces de parking, celles-ci étant concentrées dans le haut de la parcelle. Afin de minimiser l’impact de la surélévation de la hauteur de la salle omnisports, le projet prévoit des bandeaux horizontaux permettant de rompre l’échelle générale. Ce dispositif semble judicieux, il devra cependant être affiné et complété par une mise en couleur adéquate. Sur ce point, la Section monuments et sites demande à l’autorité communale à être consultée le moment venu. » Dans ses déterminations du 3 septembre 2009, le SIPAL a précisé ce qui suit : « Il est évident que la salle omnisports par sa volumétrie et son implantation en bordure de la Baye de Clarens porte atteinte aux abords du site classé monument historique des villas Dubochet. L’absence de qualité architecturale du bâtiment constitue un facteur aggravant. Il en va de même de la Place du Pierrier située à l’Est dépourvue de toute qualification en tant qu’espace public. (…) Pour atténuer la masse de la salle et de son rehaussement, les architectes proposent d’accentuer les lignes horizontales par un choix des matériaux mis en œuvre différencié et par des décrochements volumétriques. Du côté du quartier des villas Dubochet, si l’importance volumétrique de la salle omnisports est augmentée, son intégration est améliorée par le traitement des façades. Actuellement, la façade donnant sur la Baye de Clarens est totalement négligée, considérée comme une face arrière de bâtiment. Le projet propose une nouvelle qualification de la façade Ouest en privilégiant une expression par bandeaux horizontaux afin de visuellement atténuer sa hauteur. Le réaménagement complet de la place du Pierrier avec une réappropriation d’une grande partie de l’espace à disposition pour des activités de loisirs, en supprimant les places de stationnement dans la partie inférieure, représente une qualité essentielle du projet. En améliorant ses abords, cette requalification des espaces publics contribue également à assurer à la salle omnisports, d’une manière plus générale, une meilleure intégration dans le site. » Du procès-verbal de l’inspection locale, l’on peut relever ce qui suit : Le tribunal et les parties se dirigent ensuite vers les villas Dubochet et vont dans le jardin de la maison de Véronique Sulliger, soit sur la parcelle n° 1136, qui se trouve à l’ouest de la salle omnisports, de l’autre côté de la rivière la Baye de Clarens. De là, il y a vue directe sur l’une des longues façades de la salle omnisports. Le président constate que sa transformation va porter atteinte à la vue de la recourante. La discussion porte sur l’intégration du bâtiment avec les alentours et les mesures prévues par les architectes pour améliorer cette intégration. La représentante du SIPAL confirme son préavis du 3 septembre 2009 et relève que la façade ouest est épouvantable ; elle reconnaît ne pas être à l’aise avec cette situation, mais que le projet choisi est le meilleur projet, compte tenu des différentes contraintes. Véronique Sulliger considère que c’est à tort que le SIPAL est parti de l’idée qu’il y avait obligation de surélever la salle omnisports ; elle précise que celle-ci date de 1988, l’un des représentants de l’autorité intimée indiquant que la STEP a quant à elle été construite dans les années 60. Elle estime par ailleurs qu’une surélévation de 5 m est énorme. Denis Viquerat ajoute qu’un postulat demandant au Conseil d’Etat un rapport sur les monuments qui pourraient bénéficier d’un périmètre de protection a été déposé et que le site des villas Dubochet est un site classé, unique en Europe et d’importance nationale. Ulrich Ruoff intervient également et insiste sur le fait qu’il s’agit d’un site protégé, ce qui comprend également ses environs. La représentante du SIPAL précise que le jardin et l’extérieur des maisons sont classés ; quant à l’intérieur des villas, il figure à l’inventaire. Du rapport effectué en juin 1983 sur mandat de l’Office fédéral des forêts, Division de la protection de la nature et du paysage, par le bureau d’architecture Sibylle Heusser-Keller s’agissant en particulier des villas Dubochet, les éléments suivants peuvent être relevés (p. 1 et 2) : Le site qui occupe une position privilégiée en bordure du Lac Léman, sur la rive droite de la Baye de Clarens, est composé d’un assemblage hétéroclite de groupements et d’éléments individuels, liés au développement touristique de la deuxième moitié du 19 e s. (…) Les qualités spatiales du site sont évidentes, prépondérantes même pour le quartier des villas Dubochet qui offre une grande cohérence spatiale et qui a gardé ses caractéristiques d’origine presque intactes. (…) Les qualités historico-architecturales du site sont prépondérantes, notamment en ce qui concerne le quartier des villas Dubochet – bien conservé, d’un pittoresque propre à l’éclectisme de la fin du second Empire (…) b) L’ensemble des éléments du dossier permettent de constater que la salle de sports, actuellement déjà, porte une atteinte importante au site dans lequel elle se trouve. La représentante du SIPAL ne peut ainsi qu’être suivie lorsqu’elle indique que la salle omnisports, par sa volumétrie, son implantation en bordure de la Baye de Clarens et son absence de qualité architecturale, porte atteinte aux abords du site classé monument historique des villas Dubochet. Du côté ouest, dont la façade a même été qualifiée d’« épouvantable » par la représentante du SIPAL, le bâtiment en cause se trouve, par-delà la Baye de Clarens, à une vingtaine de mètres seulement de la parcelle de la recourante Véronique Sulliger, propriétaire de l’une des villas Dubochet, s’élève déjà à près de 15 m jusqu’au faîte du toit, si l’on part du niveau moyen du terrain naturel, fixé à 377.47 (cf. consid. 4b/aa), et mesure 86 m 50 de longueur. L’inspection locale a permis de constater que, au vu de ses importantes dimensions actuelles, la salle omnisports a déjà un impact négatif considérable sur le site des villas Dubochet. Le rehaussement de 5 m de la hauteur du bâtiment provoquerait également une augmentation non négligeable de son volume – qui passerait de 71'685 m 3 SIA à 93'268 m 3 SIA, soit une augmentation de 30% – et ne ferait donc que sérieusement aggraver l’impression de masse considérable qui en découlerait et donc l’atteinte au site des villas Dubochet. Il sied en outre de rappeler que, en raison de son importance spatiale, historique et architecturale, ce site est protégé à plusieurs titres : classement de l’extérieur des villas, des terrasses ainsi que des barrières et des grilles de portail des jardins à titre de monuments historiques, parties non classées inscrites à l’inventaire cantonal, note *2* attribuée à l’ensemble du quartier, plaçant ainsi son intérêt au niveau régional ; il s’est en outre même vu attribuer un objectif de sauvegarde A, signifiant la sauvegarde intégrale de la substance, par l’OISOS. L’on peut encore souligner le fait que, selon la jurisprudence du Tribunal fédéral, la protection d’un monument n’est pas pensable sans une protection simultanée de son environnement (ATF 109 Ia 185 ss ; AC.2005.0048 du 8 février 2006 consid. 3a) ; l’art. 46 al. 2 LPNMS prévoit d’ailleurs expressément que sont également protégés les terrains contenant les monuments protégés et leurs abords. Enfin, le document établi par la Commission fédérale des monuments historiques, du Département fédéral de l’intérieur, du 17 octobre 2008, relatif aux « Principes de protection des abords des monuments », insiste sur le fait que « tout monument s’inscrit dans un espace avec lequel il entre inévitablement en relation sur différents plans. Les abords font en quelque sorte partie intégrante du monument ; ils représentent cette aire à l’intérieur de laquelle le monument « vit » et est perçu. Etant un des éléments qui constituent la valeur du monument, ils méritent, à ce titre, une attention particulière ». c) Est également d’importance, dans l’appréciation de la situation, le fait que la salle omnisports se situe à proximité immédiate du lac et au bord d’une rivière. Si le plan d’affectation ne prévoit pas à cet endroit de zones de protection des rives du lac et du cours d’eau, il n’en demeure pas moins que, dans l’énumération des principes régissant l’aménagement du territoire (art. 3 LAT), il convient notamment de tenir libres les bords des lacs et des cours d’eau et de faciliter au public l’accès aux rives et le passage le long de celles-ci (art. 3 al. 2 let. c LAT) et que la clause générale d'esthétique de l'art. 86 LATC fait également partie des autres mesures prévues par le droit cantonal au sens de l'art. 17 al. 2 LAT ( Moor in Commentaire de la loi fédérale sur l’aménagement du territoire, 2009, n . 87 et 88 ad art. 17). Outre les principes posés par le PDRL, qui comprend le secteur en cause, les lacs et leurs rives font ainsi l’objet d’une protection particulière. L’on ne saurait dès lors nier que, de par ses dimensions, en particulier son volume et l’impression de masse qui en découle, la salle omnisports ne s’intègre déjà actuellement pas non plus, outre aux abords du site des villas Dubochet, à l’environnement lacustre dans lequel elle se trouve. La promenade le long du lac, en particulier, souffre d’une rupture importante au niveau du bâtiment en cause. La transformation de ce dernier, et l’augmentation importante de son volume qui en résulterait, ne pourrait dès lors qu’aggraver l’atteinte au site du bord du lac. De plus, ainsi que l’indique le PDRL, dans le secteur est, à l’exception du site des Grangettes, la profondeur (soit la largeur) de rive est très souvent extrêmement réduite ; il précise cependant que ponctuellement des améliorations peuvent être proposées (p. 42). Dans la mesure où le cas d’espèce est l’un des exemples de profondeur (soit de largeur) de rive très faible, il se justifie d’autant plus d’éviter l’augmentation importante de hauteur et de volume du bâtiment, qui aggraverait l’atteinte au lieu. Plusieurs éléments du PDRL s’opposent également au projet de transformation ; ainsi, ce plan directeur relève que la présence de plusieurs secteurs d’urbanisation à moyenne, voire forte densité, entre en conflit avec la volonté exprimée par le législateur de maintenir aussi libres que possible les rives des lacs (p. 9) ; il précise par ailleurs que l’option principale en matière d’aménagement du territoire consiste à promouvoir les vocations des rives, qu’elles appartiennent au domaine du tourisme, de l’habitat ou de la nature (p. 41) ; il prévoit enfin différentes mesures générales en matière d’aménagement du territoire telles que maintenir, sur tout le pourtour du lac, une faible densité des constructions et orienter le développement et l’aménagement des rives dans le respect de l’histoire de leur occupation, et en tenant compte des activités et aménagements caractéristiques de cet espace (p. 43). Contrairement à la station d’épuration, la construction d’une salle omnisports au bord du lac n’est pas imposée par sa destination ; au demeurant, une telle salle ne se trouve pas en relation directe avec les activités lacustres. Ce type de bâtiment devrait être situé dans un tout autre lieu que sur les rives du lac. L’ensemble de ces éléments ne peuvent donc que s’opposer à une aggravation de l’atteinte au site lacustre que provoqueraient inévitablement les transformations projetées de la salle omnisports. d) Les différentes mesures prévues pour atténuer la masse de la salle et de sa surélévation, telles que le choix des matériaux et des décrochements volumétriques, ne seraient en outre pas suffisantes pour contrer l’aggravation de l’impression de masse que le passage de près de 15 m à près de 20 m de hauteur jusqu’au faîte du toit du bâtiment, dont les façades est et ouest font plus de 86 m de long, provoquerait inévitablement. La gravité de cette atteinte ne saurait non plus être contre-balancée par le réaménagement complet de la place du Pierrier, même si celui-ci permettrait, ainsi que l’indique la représentante du SIPAL dans son préavis du 3 septembre 2009, une réappropriation d’une grande partie de l’espace à disposition pour des activités de loisirs, celle-ci n’empêchant pas l’atteinte portée au site par le bâtiment lui-même. Les raisons enfin pour lesquelles la municipalité de Montreux défend la transformation de la salle omnisports, à savoir essentiellement des raisons d’ordre technique (assainissement et ventilation de la salle), ne sont pas entièrement convaincantes et ne sauraient en aucun cas constituer un intérêt public suffisant pour l’emporter sur la protection du site des villas Dubochet et des rives du lac. e) Il découle de l’ensemble des éléments qui précèdent que le grief des recourants selon lequel le projet porterait atteinte aussi bien au site des villas Dubochet qu’à l’environnement du site, aux rives du lac notamment, est fondé. Il s'ensuit que les décisions du 5 juin 2009 doivent, pour ce motif également, être annulées.</w:t>
      </w:r>
    </w:p>
    <w:p>
      <w:r>
        <w:rPr>
          <w:b/>
        </w:rPr>
        <w:t>E. 9</w:t>
      </w:r>
    </w:p>
    <w:p>
      <w:r>
        <w:t>Au vu de l’issue de la procédure, il n’est pas nécessaire d’examiner les autres griefs soulevés dans le recours ni de se prononcer sur les mesures d’instruction complémentaires requises par les recourants lors de l’inspection locale.</w:t>
      </w:r>
    </w:p>
    <w:p>
      <w:r>
        <w:rPr>
          <w:b/>
        </w:rPr>
        <w:t>E. 10</w:t>
      </w:r>
    </w:p>
    <w:p>
      <w:r>
        <w:t>Il résulte des considérants qui précèdent que le recours doit être admis et les décisions de la Municipalité de Montreux du 5 juin 2009 annulées. Conformément aux art. 49 et 55 LPA-VD, un émolument de justice sera mis à la charge de la Commune de Montreux, constructrice déboutée, qui supportera en outre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