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AC.2009.0123 vom 11. Januar 2010</w:t>
      </w:r>
    </w:p>
    <w:p>
      <w:r>
        <w:t>VD Tribunal cantonal, 2010-01-11, FR</w:t>
      </w:r>
    </w:p>
    <w:p>
      <w:r>
        <w:rPr>
          <w:b/>
        </w:rPr>
        <w:t xml:space="preserve">Quelle: </w:t>
      </w:r>
      <w:r>
        <w:t>https://mcp.opencaselaw.ch/entscheid/vd_omni_AC.2009.0123</w:t>
      </w:r>
    </w:p>
    <w:p>
      <w:r>
        <w:t>FR: VD_OMNI AC.2009.0123 du 11 janvier 2010</w:t>
      </w:r>
    </w:p>
    <w:p>
      <w:r>
        <w:t>IT: VD_OMNI AC.2009.0123 del 11 gennaio 2010</w:t>
      </w:r>
    </w:p>
    <w:p>
      <w:pPr>
        <w:pStyle w:val="Heading2"/>
      </w:pPr>
      <w:r>
        <w:t>Regeste</w:t>
      </w:r>
    </w:p>
    <w:p>
      <w:r>
        <w:t>FAVEZ/Département de l'économie, Conseil général de la Commune de Villars-Sainte-Croix, MORAZ, Service de l'environnement et de l'énergie | Un plan spécial respecte l'art. 29 OPB dès lors qu'il impose que des mesures architecturales et techniques soient prises au moment des constructions avec une étude acoustique.</w:t>
      </w:r>
    </w:p>
    <w:p>
      <w:pPr>
        <w:pStyle w:val="Heading2"/>
      </w:pPr>
      <w:r>
        <w:t>Erwägungen</w:t>
      </w:r>
    </w:p>
    <w:p>
      <w:r>
        <w:rPr>
          <w:b/>
        </w:rPr>
        <w:t>E. 1</w:t>
      </w:r>
    </w:p>
    <w:p>
      <w:r>
        <w:t>Il n’y a pas lieu de donner suite à la requête du recourant tendant à ce qu’il soit procédé à une inspection locale dès lors que cette mesure d’instruction a déjà eu lieu dans le cadre de la procédure relative au PPA « En Coulaye » avec une Cour dans la même composition et les mêmes parties.</w:t>
      </w:r>
    </w:p>
    <w:p>
      <w:r>
        <w:rPr>
          <w:b/>
        </w:rPr>
        <w:t>E. 2</w:t>
      </w:r>
    </w:p>
    <w:p>
      <w:r>
        <w:t>Constatant que le PGA litigieux prévoit de colloquer en zone à bâtir des terrains qui sont actuellement en zone agricole (à savoir des terrains compris dans le périmètre du projet de PPA « En Coulaye »), le recourant invoque une violation de l’art. 53 al. 3 LATC, dont la teneur est la suivante: "Les zones agricoles et viticoles ne peuvent être modifiées avant un délai de 25 ans dès leur approbation par le département, sauf dérogations exceptionnelles accordées par celui-ci. Pour les zones agricoles et viticoles conformes à la présente loi et approuvées avant son entrée en vigueur, le délai part de cette approbation. L’octroi d’une dérogation peut être subordonnée à la condition que la commune impose une péréquation réelle au sens de l’al. 2". a) Le recourant relève en premier lieu qu’aucune dérogation au sens de l’art. 53 al. 3 LATC n’a été formellement octroyée par le département. Dans sa décision d’approbation préalable du PGA du 1 er mai 2009, le Département de l’économie n’a effectivement pas formellement octroyé de dérogation en application de l’art. 53 LATC. On peut toutefois admettre, conformément à la jurisprudence (cf. AC.2008.0006 du 13 février 2009 consid. 3b; AC.2007.0007 du 31 août 2007 consid. 2), que la décision d’approbation en cause comporte implicitement l’octroi d’une telle dérogation. Ce grief formel doit par conséquent être écarté. b)  Selon l’art. 21 al. 2 de la loi fédérale du 22 juin 1979 du l’aménagement du territoire (LAT; RS 700), les plans d’affectation font l’objet des adaptations nécessaires lorsque les circonstances se sont sensiblement modifiées. L’art. 53 al. 3 LATC introduit une restriction particulière concernant les zones agricoles, en prévoyant qu’elles ne peuvent être modifiées avant un délai de 25 ans dès leur approbation par le département, sauf dérogation exceptionnelle accordée par celui-ci. Cette disposition a été introduite lors de la révision de l’ancienne loi vaudoise sur les constructions et l’aménagement du territoire du 13 septembre 1976, qui instaurait à son art. 25bis pour chaque commune l’obligation de créer des zones agricoles et qui fixait la durée de ces zones à 25 ans afin de garantir aux agriculteurs la stabilité de leur domaine pendant une génération (Eric Brandt, Les plans d’affectation dans le contentieux administratif vaudois, in RDAF 1986 p. 240; v. aussi BGC session septembre 1976 p. 839). Dans plusieurs arrêts, le Tribunal administratif avait constaté que si l’octroi ou le refus d’une dérogation concernant la durée de 25 ans des zones agricoles devait être examiné à la lumière des principes posés à l’art. 21 al. 2 LAT, une modification de l’affectation avant l’échéance du délai de 25 ans devait être justifiée par un besoin impérieux au niveau local et régional en raison de l’intérêt particulièrement important à la création ou au maintien des zones agricoles, (AC.2003.0132 du 31 octobre 2005, AC.1999.0035 du 19 octobre 2001, AC.1997.0095 du 17 mars 1998). Dans un arrêt du 13 mars 2008 (ATF 1A.315/2005 – 1P.797/2007 – 1P.799/2005 – 1P.801/2005 – 1P.803/2005), le Tribunal fédéral a nuancé cette jurisprudence. Il a relevé que, en principe, l’art. 53 LATC ne saurait faire obstacle à l’application de l’art. 21 al. 2 LAT, en vertu de la règle de la primauté du droit fédéral (art. 49 al. 1 Cst). Selon le Tribunal fédéral, le "besoin impérieux" mentionné dans la jurisprudence cantonale ne saurait ainsi être interprété comme une exigence supplémentaire du droit cantonal, qui donnerait en pareil cas une importance prépondérante à la stabilité du plan, au détriment d’une pesée des intérêts conforme à l’art. 21 al. 2 LAT. c) Dans le cas d’espèce, le recourant met en cause l’abandon de la zone agricole dans le secteur "En Coulaye" sis à l’ouest du village de Villars-Ste-Croix et la collocation de ce secteur en zone à bâtir. aa) A titre liminaire, on relèvera que le PGA affecte le secteur litigieux  à une zone « à occuper par plan spécial ». Or, selon la jurisprudence, une zone "à occuper par plan spécial" ou "à occuper par plan de quartier" prévue dans un plan général d’affectation ne peut pas encore être assimilée à une zone à bâtir (Tribunal administratif, arrêt AC.2004.0213 du 22 juin 2006 consid. 5d p. 26 et référence). Se pose ainsi la question de savoir si l’examen des griefs du recourant relatifs à la création d’une zone à bâtir à cet endroit n’est pas prématuré. En l’occurrence, cette question souffre de demeurer indécise. En effet, le PGA concrétise d’ores et déjà l’abandon de la zone agricole dans le secteur correspondant au projet de PPA "En Coulaye", en vue de l’affectation à la zone à bâtir qui interviendra ultérieurement avec l’adoption de ce plan spécial. Il convient par conséquent d’examiner si cette suppression de la zone agricole avant l’échéance du délai de 25 ans respecte l’art. 53 al.</w:t>
      </w:r>
    </w:p>
    <w:p>
      <w:r>
        <w:rPr>
          <w:b/>
        </w:rPr>
        <w:t>E. 3</w:t>
      </w:r>
    </w:p>
    <w:p>
      <w:r>
        <w:t>Le recourant soutient que, dans l’hypothèse où l’on devait considérer que les conditions permettant une extension des zones à bâtir sont réunies (notamment sous l’angle des besoins prévisibles dans les quinze ans à venir), la commune aurait dû d’abord affecter en zone à bâtir les secteurs colloqués en zone intermédiaire par le plan d’affectation de 1985. Il souligne que, dans son préavis au Conseil communal, la municipalité s’est opposée à la collocation en zone à bâtir des zones intermédiaires au motif que le rattachement de la commune au réseau des transports publics ne serait pas suffisant selon les critères posés par l’autorité cantonale. Selon lui, ce motif aurait dû également conduire au refus de transformer le secteur litigieux en zone à bâtir. a) La LAT distingue les zones à bâtir (art. 15), les zones agricoles (art. 16), les zones à protéger (art. 17) et les « autres zones ou territoires » (art. 18 LAT).  La zone intermédiaire, prévue en droit vaudois par l’art. 51 LATC, fait partie des territoires non affectés ou de ceux dont l’affectation est différée au sens de l’art. 18 al. 2 LAT et constitue une zone de réserve (AC.2004.0213 consid. 5a p. 21). Aux termes de l’art. 51 LATC, les zones intermédiaires comprennent les terrains dont la destination sera définie ultérieurement par des plans d’affectation ou de quartier (al. 1). Ces zones sont inconstructibles; le règlement communal peut toutefois y autoriser, dans la mesure où l’affectation future n’est pas compromise, l’extension de constructions agricoles ou viticoles existantes, ou de nouvelles constructions agricoles ou viticoles (al. 2). b) Le fait qu’un secteur ait été classé en zone intermédiaire n’implique pas nécessairement que celui-ci soit prioritairement affecté en zone à bâtir en cas d’extension ultérieure des zones constructibles. Notamment lorsque la planification est ancienne, on peut concevoir que, compte tenu de l’évolution de la situation, il existe des motifs pertinents de colloquer de préférence en zone à bâtir des secteurs anciennement en zone agricole plutôt que des secteurs en zone intermédiaire. En l’occurrence, dans le plan des zones de 1985, les zones intermédiaires se situent essentiellement dans le prolongement de la zone de villas A, au sud de cette dernière. Comme l’a relevé le SAT dans ses observations du 5 février 2007, ce secteur a un caractère résidentiel et se prête par conséquent mal à accueillir une zone à bâtir pour laquelle on souhaite une certaine mixité. De manière générale, on relève que l’on se trouve en présence d’une réflexion globale sur la base de laquelle on a décidé d’abandonner des zones à bâtir (zones villas) et des zones intermédiaires dans un secteur peu propice à l’urbanisation compte tenu de la présence de l’autoroute, d’une ligne à haute tension et de son éloignement du village, donc des équipements et dont l’accès est difficile. Dans le cadre de cette réflexion globale, il s’avère cohérent de relocaliser également les zones intermédiaires. Dans ces circonstances, on peut comprendre que la commune ait préféré étendre la zone à bâtir à l’ouest du village en prévoyant une densification cohérente et une mixité en continuité du noyau du village, à proximité des équipements et avec une bonne accessibilité, ceci en conformité avec les objectifs du nouveau plan directeur cantonal. Le choix de faire passer le secteur litigieux de la zone agricole à la zone à bâtir alors que d’autres secteurs sont maintenus en zone intermédiaire répond ainsi à des considérations d’urbanisme objectives et suffisamment étudiées. Pour le surplus, on a vu que la question de la desserte en transports publics devra être examinée dans le cadre de la procédure de légalisation du plan spécial qui est prévu.</w:t>
      </w:r>
    </w:p>
    <w:p>
      <w:r>
        <w:rPr>
          <w:b/>
        </w:rPr>
        <w:t>E. 4</w:t>
      </w:r>
    </w:p>
    <w:p>
      <w:r>
        <w:t>Le recourant soutient que le régime prévu pour le secteur litigieux dans le PGA ne respecte pas les exigences posées par la jurisprudence du Tribunal fédéral dès lors que ce secteur est affecté à la zone à bâtir, sans que soient définies les modalités de construction, notamment le coefficient d’utilisation du sol et le degré de sensibilité au bruit. Il invoque à cet égard une violation des art. 14 LAT, respectivement 47 al. 1 LATC. a) L’art. 14 LAT prévoit que les plans d’affectation règlent le mode d’utilisation du sol (al. 1) et qu’ils délimitent en premier lieu les zones à bâtir, les zones agricoles et les zones à protéger (al. 2). L’art. 47 al. 1 LATC précise que, sous réserve des dispositions spéciales des lois et des règlements cantonaux, les plans et les règlements d’affectation fixent les prescriptions relatives à l’affectation des zones et au degré de sensibilité au bruit, ainsi que la mesure de l’utilisation du sol. b) aa) Une zone à occuper par plan spécial n’est pas une zone à bâtir et doit être assimilée à une zone intermédiaire (AC.2004.0213 précité consid. 5d ; AC.2001.0033 consid. 2). Dès lors qu’il résulte du PGA que le secteur mis en cause par le recourant n’est pas constructible à ce stade, la réglementation qui le régit n’est pas soumise à l’art. 47 al. 1 LATC et il n’est donc pas nécessaire de prévoir des prescriptions relatives à la mesure de l’utilisation du sol et au degré de sensibilité au bruit (la situation diffère en cela de l’arrêt AC.2001.0215 cité par le recourant où le secteur litigieux était constructible). bb) Selon la jurisprudence du Tribunal fédéral, dans le périmètre des zones à bâtir définies conformément à l’art. 15 LAT, il n’est pas conforme au droit fédéral de classer formellement les secteurs considérés en zone à bâtir tout en exigeant une nouvelle procédure complète de révision du plan d’affectation avant la délivrance d’une autorisation de construire (ATF 131 II 151 consid. 2.3 et références). Or, c’est précisément la conséquence du classement du secteur litigieux en zone à occuper par plan spécial, puisque celui-ci ne pourra être utilisé pour la construction qu’après une nouvelle procédure de classement en zone à bâtir définitive. Pour respecter strictement la jurisprudence du Tribunal fédéral, il aurait été nécessaire que le plan spécial (soit le PPA "En Coulaye") soit adopté en même temps que le PGA. En l’occurrence, la situation est toutefois particulière dès lors que, suite à l’arrêt du Tribunal administratif du 31 août 2007, la commune était invitée à légaliser le PGA afin de concrétiser la compensation entre l’abandon de la zone agricole dans le secteur « En Coulaye » et le retour à cette zone des parcelles encore libres de constructions sises à l'intérieur de l'échangeur autoroutier de Villars-Ste-Croix.  Dans ces circonstances, on peut comprendre que la commune ait souhaité ancrer le principe de la compensation en légalisant le PGA avant d’aller de l’avant avec le PPA "En Coulaye". On relève au demeurant que cette procédure n’a pas été mise en cause par les propriétaires des parcelles concernées (qui pouvaient avoir intérêt à une affectation immédiate en zone constructible) et qu’elle ne porte pas d’atteinte aux droits du recourant dès lors que celui-ci pourra intervenir dans le cadre de la procédure de légalisation du plan spécial, lequel devra alors indiquer la mesure de l’utilisation du sol au sens de l’art. 47 al. 1 LATC et le degré de sensibilité. Vu ce qui précède, ce grief doit également être écarté.</w:t>
      </w:r>
    </w:p>
    <w:p>
      <w:r>
        <w:rPr>
          <w:b/>
        </w:rPr>
        <w:t>E. 5</w:t>
      </w:r>
    </w:p>
    <w:p>
      <w:r>
        <w:t>Le recourant invoque une violation de l’art. 29 de l’ordonnance du Conseil fédéral du 15 décembre 1986 sur la protection contre le bruit (OPB; RS 814.41). Il relève que le secteur litigieux jouxte l’autoroute Lausanne-Yverdon el la RC 251 et que, compte tenu de l’augmentation du trafic intervenue ces dernières années, il n’est pas établi que les valeurs de planification sont respectées.  Il produit un extrait du site Internet de l’Office fédéral des routes dont il ressort que le trafic journalier moyen sur l’autoroute A1 au droit de la station de mesures de Mex est de 58'628 véhicules. Il souligne que l’étude acoustique réalisée dans le cadre de la procédure de légalisation du PPA "En Coulaye" par le bureau Ecoscan SA en janvier 2006 était fondée sur un trafic journalier de 53'500 véhicules par jour, ce qui implique une augmentation de plus de 10 % en deux ans. a) L’art. 29 OPB a la teneur suivante: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des valeurs de planification ou en des secteurs dans lesquels des mesures de planification, d’aménagement ou de construction permettent de respecter ces valeurs." b) Dès lors qu’une zone à occuper par plan spécial ne peut pas être considérée comme une zone à bâtir, il apparaît douteux que l’art 29 OPB puisse être invoqué à ce stade. Cela étant, le SEVEN a confirmé dans le cadre de la présente procédure que le projet de PPA "En Coulaye" respecte les exigences légales en matière de protection contre le bruit, même en tenant compte de l’augmentation de trafic intervenue depuis l’étude acoustique. Il rappelle à cet égard que le projet de PPA exige des mesures architecturales et techniques permettant de ventiler les espaces concernés au moyen d’ouvrants protégés du bruit (art. 15.2 du projet de RPPA) et une nouvelle étude acoustique démontrant le respect des niveaux d’évaluation Lr de 60 dB(A) le jour et 50 dB(A) la nuit, avec les mesures de mise en œuvre (art.15.3 du projet de RPPA). Dans ces circonstances, le projet de PPA ne devrait pas poser de problème sous l’angle de l’art. 29 al. 1 OPB.</w:t>
      </w:r>
    </w:p>
    <w:p>
      <w:r>
        <w:rPr>
          <w:b/>
        </w:rPr>
        <w:t>E. 6</w:t>
      </w:r>
    </w:p>
    <w:p>
      <w:r>
        <w:t>Il résulte des considérants que le recours doit être rejeté et les décisions attaquées confirmées. Le recourant prendra en charge les frais de la cause et versera des dépens à la commune,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