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AC.2009.0117 vom 2. November 2009</w:t>
      </w:r>
    </w:p>
    <w:p>
      <w:r>
        <w:t>VD Tribunal cantonal, 2009-11-02, FR</w:t>
      </w:r>
    </w:p>
    <w:p>
      <w:r>
        <w:rPr>
          <w:b/>
        </w:rPr>
        <w:t xml:space="preserve">Quelle: </w:t>
      </w:r>
      <w:r>
        <w:t>https://mcp.opencaselaw.ch/entscheid/vd_omni_AC.2009.0117</w:t>
      </w:r>
    </w:p>
    <w:p>
      <w:r>
        <w:t>FR: VD_OMNI AC.2009.0117 du 2 novembre 2009</w:t>
      </w:r>
    </w:p>
    <w:p>
      <w:r>
        <w:t>IT: VD_OMNI AC.2009.0117 del 2 novembre 2009</w:t>
      </w:r>
    </w:p>
    <w:p>
      <w:pPr>
        <w:pStyle w:val="Heading2"/>
      </w:pPr>
      <w:r>
        <w:t>Regeste</w:t>
      </w:r>
    </w:p>
    <w:p>
      <w:r>
        <w:t>SILVA SANTOS, MINHOS/Service de l'économie, du logement et du tourisme, Municipalité de Morges, Service de l'environnement et de l'énergie | Transformation d'un cabaret en discothèque. Au vu de l'ensemble des éléments, sur la base d'une appréciation concrète de la situation, le tribunal considère que la manière dont l'établissement est exploité par les recourants n'entraîne pas de changement significatif du point de vue de l'environnement par rapport à l'exploitation antérieure. Partant, c'est à tort que l'autorité intimée a considéré qu'on se trouvait en présence d'un changement d'affectation nécessitant une procédure d'autorisation avec mise à l'enquête publique. S'agissant des problèmes qui pourraient survenir ultérieurement, le tribunal relève que l'autorité peut en tout temps effectuer un contrôle des immissions provenant d'un établissement ou de sa clientèle et, s'il y a lieu, imposer des prescriptions d'exploitation plus sévères.</w:t>
      </w:r>
    </w:p>
    <w:p>
      <w:pPr>
        <w:pStyle w:val="Heading2"/>
      </w:pPr>
      <w:r>
        <w:t>Erwägungen</w:t>
      </w:r>
    </w:p>
    <w:p>
      <w:r>
        <w:rPr>
          <w:b/>
        </w:rPr>
        <w:t>E. 1</w:t>
      </w:r>
    </w:p>
    <w:p>
      <w:r>
        <w:t>Aux termes de l'art. 92 al. 1 de la loi du 28 octobre 2008 sur la procédure administrative (LPA-VD; RSV 173.36), la Cour de droit administratif et public du Tribunal cantonal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SELT. Déposé en temps utile, selon les formes prescrites par la loi, le recours est formellement recevable, de sorte qu'il y a lieu d'entrer en matière sur le fond.</w:t>
      </w:r>
    </w:p>
    <w:p>
      <w:r>
        <w:rPr>
          <w:b/>
        </w:rPr>
        <w:t>E. 2</w:t>
      </w:r>
    </w:p>
    <w:p>
      <w:r>
        <w:t>a) A teneur de l'art. 103 LATC, aucun travail de construction ou de démolition, en surface ou en sous-sol, modifiant de façon sensible la configuration, l'apparence ou l'affectation d'un terrain ou des bâtiments, ne peut être exécuté avant d'avoir été autorisé. Le changement d'affectation n'est pas mentionné par la loi comme élément soumis à autorisation mais c'est l'art. 68 du règlement du 19 septembre 1986 d'application de la LATC (RLATC ; RSV 700.11.1), disposition réglementaire, qui subordonne notamment à autorisation de la municipalité le changement de destination de constructions existantes (let. b). On peut aussi déduire du droit fédéral que le changement d'affectation est soumis à autorisation même en l'absence de travaux (voir sur point RDAF 2000 I, p. 244; AC.2002.0039 du 5 octobre 2004 consid. 3). La jurisprudence cantonale a régulièrement jugé qu'il n'y a pas lieu de donner une interprétation extensive de la notion de changement d'affectation, qui doit rester limitée aux cas où l'on est en présence d'un changement fondamental parce qu'une catégorie donnée d'affectation (par exemple l'habitation) est totalement abandonnée au profit d'une autre (par exemple l'activité artisanale). Il faut être particulièrement attentif à ne pas étendre le champ d'application du permis de construire (autorisant un changement d'affectation) lorsque des travaux ne sont pas en cause: vu la garantie de la liberté individuelle, le permis de construire ne doit pas devenir un moyen de contrôle systématique sur la présence et l'activité des personnes ou sur l'utilisation des biens dans les constructions existantes (RDAF 2000 I, p. 244; RDAF 2001 I, p. 248; AC.2007.0298 du 19 janvier 2009; AC.2008.0101 du 11 décembre 2008; AC.2007.0009 du 11 avril 2007; AC.2004.0147 du 23 décembre 2004; AC.2003.0178 du 27 avril 2004; AC.2003.0095 du 6 janvier 2004; AC.2002.0060 du 31 octobre 2003; AC.2002.0127 du 23 avril 2003; AC.2000.0214 du 5 juin 2002; AC.2001.0029 du 8 octobre 2001). C'est ainsi par exemple que l'occupation par un centre de requérants d'asile d'une maison en zone d'habitation collective ayant déjà fait l'objet d'un permis de construire ne constitue pas un changement d'affectation nécessitant une autorisation (AC.1992.0212 du 28 juin 1993). De même, en présence de volumes préexistants figurant sur les plans sur la base desquels l'autorisation a été délivrée, il n'appartient pas à l'autorité de s'immiscer de manière détaillée dans l'utilisation qui en est faite; ainsi, on ne saurait voir un changement d'affectation soumis à autorisation dans le fait qu'un exploitant puisse renoncer à l'usage d'un garage pour son tracteur dans le but d'y entreposer des sacs d'engrais (AC.1997.0104 du 30 mars 2005). Le simple changement de catégorie de licence ne constitue d’ailleurs pas en soi un changement d'affectation du point de vue de la planification (arrêts AC.2006.0046 du 22 octobre 2007 consid. 3; AC.2002.0039 du 5 octobre 2004 consid. 4; AC.2002.0127 du 23 avril 2003 consid. 2c). Suivant en cela la jurisprudence du Tribunal fédéral, la jurisprudence cantonale considère qu'en l'absence de travaux, on ne se trouve en présence d'un changement d'affectation soumis à autorisation qu'en cas de changement significatif du point de vue de la planification (c'est-à-dire de l'affectation définie par l'autorité de planification) ou du point de vue de l'environnement (ATF 119 Ib 222 consid. 3a p. 226 s.; 113 Ib 219 consid. 4d p. 223; voir en outre arrêts AC.2009.0005 du 1 er juillet 2009 consid. 3b; AC.2007.0298 du 19 janvier 2009; AC.2001.0029 du 8 octobre 2001; AC.1997.0044 et les arrêts cités). b) Il y a encore lieu de se demander si une loi spéciale telle que la LADB pourrait soumettre à la procédure d'enquête publique et de permis de construire des situations qui ne tomberaient pas en soi dans le champ d'application de l'art. 103 LATC. A cet égard, l’art. 44 LADB prévoit ce qui suit: "Art. 44 - Transformations, changement d'affectation Les transformations, y compris l'agrandissement des locaux, la création et l'agrandissement de terrasses, ainsi que tout changement de catégorie de licence d'établissement ou d'autorisation simple au sens de l'art. 4 sont soumis à l'autorisation spéciale du département. Les dispositions de la loi sur l'aménagement du territoire et des constructions sont réservées. Les établissements transformés dont l'affectation a été modifiée ou l'exploitation transférée dans de nouveaux locaux sans autorisation peuvent être fermés par le département". Le tribunal a déjà eu l’occasion de préciser que cette disposition nouvelle ne fait que délimiter le champ de compétence du département quand il statue sur l'autorisation spéciale prévue par la LADB (cf. AC.2002.0039 du 5 octobre 2004 consid. 4b). En tant qu'elle se borne à réserver l'application de la LATC (et en particulier l'art. 103 LATC qui pose l'exigence d'un permis de construire aux conditions examinées plus haut), elle n'a pas de portée propre: les dispositions de la LATC peuvent effectivement être applicables, en cas de travaux ou de changement d'affectation au sens de la LATC. Il est vrai, s'agissant de l'art. 44 LADB cité ci-dessus que, d'après l'exposé des motifs du Conseil d'Etat, il semble avoir été prévu que les transformations et les changements de catégorie de patente soient soumis à la procédure d'enquête publique (BGC janvier 2002, p. 7'764). Cependant, force est de constater que cette intention n'a pas trouvé son expression dans la loi dont le texte aurait dû pour cela non pas "réserver" l'application de la LATC mais prévoir expressément que les changements de catégorie de patente seraient assujettis à une procédure d'enquête publique organisée selon les prescriptions de la LATC (cf. AC.2002.0039 du 5 octobre 2004 consid. 4b).</w:t>
      </w:r>
    </w:p>
    <w:p>
      <w:r>
        <w:rPr>
          <w:b/>
        </w:rPr>
        <w:t>E. 3</w:t>
      </w:r>
    </w:p>
    <w:p>
      <w:r>
        <w:t>En l’occurrence, il convient d’examiner si l’exploitation de l’établissement " New Gilvir " par les recourants diffère de celle faite par les anciens exploitants de telle manière que l’on se trouve en présence d’un changement significatif du point de vue de l’environnement, nécessitant une procédure d’autorisation. Ceci implique essentiellement d’examiner si la nouvelle exploitation implique une augmentation des nuisances sonores, y compris en ce qui concerne les bruits de comportement à l’extérieur de l’établissement. A cet égard, le fait que l’on soit ou non en présence d’un changement de la catégorie de licence n’est pas déterminant (cf. AC 2006.0046 du 22 octobre 2007 consid. 3 et AC.2002.0039 du 5 octobre 2004 consid. 4b). L’instruction n’a pas permis d’établir clairement le type d’activités que les recourants entendent proposer dans leur établissement. Leurs intentions et les explications fournies aux autorités ont eu tendance à varier puisque après avoir dans un premier temps demandé une licence de discothèque, ils ont affirmé qu’ils organiseraient quotidiennement des spectacles, l’élément dancing restant accessoire au spectacle (cf. lettre de leur conseil du 17 avril 2009 à la Police cantonale du commerce p. 2) avant de déclarer lors de la visite des lieux effectuée le 19 février 2009 qu’ils souhaitaient se concentrer sur la possibilité de danser et d’organiser des karaokés, tout en se réservant la possibilité de proposer des spectacles notamment érotiques (cf. mémoire de recours p. 5 ch. 27). Même s’il est difficile de déterminer précisément le contenu du nouveau concept d’exploitation mis en place par les recourants, on constate que, dans le faits, ce  concept, qui est en place depuis l’automne 2008 (cf. télécopie de la direction de l’établissement du 5 novembre 2008), n’implique pas de nuisances significativement plus élevées pour le voisinage. Ceci résulte notamment des explications fournies par le Municipal Paccaud lors de l’audience selon lesquelles il n’avait pas de doléances à formuler à l’encontre des recourants bien qu’il soit voisin direct de l’établissement. Le municipal a ainsi indiqué que les bruits qui dérangeaient les voisins provenaient d’un autre établissement public, très proche de celui des recourants. Le sergent-major Rochat a aussi déclaré être intervenu 5x en 2008 et 3x en 2009 pour des raisons de bruit provoqué par l’établissement des recourants ou ses clients, ce qui serait selon lui un nombre d’interventions extrêmement bas. A l’occasion de l’inspection locale, le tribunal a également pu constater que le matériel de diffusion de l’établissement n’a pas changé (mis à part les patines) depuis sa reprise. Les recourants ont précisé à ce propos que les DJ invités n’apportaient pas leur propre matériel, mais utilisaient celui qui était sur place. Le tribunal a aussi relevé que la configuration des locaux n’a pas été modifiée par les recourants; notamment la piste de danse n’a pas été agrandie et paraît d’ailleurs relativement exiguë, ce qui semble rendre difficile l’exploitation comme véritable discothèque. Entendu comme témoin, l’ancien exploitant Buffalini a pour sa part expliqué qu’il y avait toujours eu dans l’établissement des spectacles, de la diffusion de musique et la possibilité de danser. Au vu de l’ensemble de ces éléments, sur la base d’une appréciation concrète de la situation, il faut considérer que la manière dont l’établissement est exploité par les recourants n’entraîne pas de changement significatif du point de vue de l'environnement par rapport à l’exploitation antérieure. Partant, c’est à tort que l’autorité intimée a considéré qu’on se trouvait en présence d’un changement d’affectation nécessitant une procédure d’autorisation avec mise à l’enquête publique en application des art. 103 ss LATC. S’agissant des problèmes qui pourraient survenir ultérieurement, on relèvera à toutes fins utiles que les établissements et leurs locaux doivent satisfaire de façon permanente aux exigences de la protection de l’environnement (art. 39 al. 1 LADB), y compris la protection contre le bruit, et ils sont soumis à ce sujet, à une surveillance non moins permanente. L’autorité peut en tout temps, et notamment sur plainte des voisins, effectuer un contrôle des immissions provenant d’un établissement ou de sa clientèle et, s’il y a lieu, imposer des prescriptions d’exploitation plus sévères sur la base de l’ordonnance du 15 décembre 1986 sur la protection contre le bruit (OPB ; RS 814.41 ).</w:t>
      </w:r>
    </w:p>
    <w:p>
      <w:r>
        <w:rPr>
          <w:b/>
        </w:rPr>
        <w:t>E. 4</w:t>
      </w:r>
    </w:p>
    <w:p>
      <w:r>
        <w:t>Il résulte des considérants qui précèdent que le recours doit être admis et la décision attaquée annulée. Les frais restent à la charge de l'Etat. Ce dernier est débiteur d'une indemnité pour les dépens de 1'500 (mille cinq cents) francs en faveur des recourants, qui ont consulté un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