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AC.2009.0116 vom 15. Februar 2010</w:t>
      </w:r>
    </w:p>
    <w:p>
      <w:r>
        <w:t>VD Tribunal cantonal, 2010-02-15, FR</w:t>
      </w:r>
    </w:p>
    <w:p>
      <w:r>
        <w:rPr>
          <w:b/>
        </w:rPr>
        <w:t xml:space="preserve">Quelle: </w:t>
      </w:r>
      <w:r>
        <w:t>https://mcp.opencaselaw.ch/entscheid/vd_omni_AC.2009.0116</w:t>
      </w:r>
    </w:p>
    <w:p>
      <w:r>
        <w:t>FR: VD_OMNI AC.2009.0116 du 15 février 2010</w:t>
      </w:r>
    </w:p>
    <w:p>
      <w:r>
        <w:t>IT: VD_OMNI AC.2009.0116 del 15 febbraio 2010</w:t>
      </w:r>
    </w:p>
    <w:p>
      <w:pPr>
        <w:pStyle w:val="Heading2"/>
      </w:pPr>
      <w:r>
        <w:t>Regeste</w:t>
      </w:r>
    </w:p>
    <w:p>
      <w:r>
        <w:t>RUCH/Municipalité de Le Vaud, VON MURALT | Ne nécessite pas de mise à l'enquête complémentaire la modification du projet (réduction de la hauteur à la corniche d'une construction abritant un garage et un cabanon de jardin afin de respecter le règlement communal) intervenue durant la procédure de recours et ayant donné lieu à une nouvelle autorisation municipale, dès lors que les recourants, qui ont reçu les nouveaux plans et ont pu se déterminer à leur sujet, n'ont pas été gênés dans l'exercice de leurs droits par l'absence d'une telle procédure d'enquête complémentaire.</w:t>
      </w:r>
    </w:p>
    <w:p>
      <w:pPr>
        <w:pStyle w:val="Heading2"/>
      </w:pPr>
      <w:r>
        <w:t>Erwägungen</w:t>
      </w:r>
    </w:p>
    <w:p>
      <w:r>
        <w:rPr>
          <w:b/>
        </w:rPr>
        <w:t>E. 1</w:t>
      </w:r>
    </w:p>
    <w:p>
      <w:r>
        <w:t>Les recourants soutiennent que la modification du projet intervenue après l'audience, donc après l'enquête publique, aurait dû faire l'objet d'une enquête complémentaire. La municipalité ne partage pas cet avis car il s'agit selon elle de modifications de minime importance. La procédure de mise à l'enquête est régie notamment par l'art. 109 al. 1 de la loi sur l'aménagement du territoire et les constructions du 4 décembre 1985 (LATC; RSV 700.1). L'enquête publique n'est pas une fin en soi. Elle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(AC.2005.0278 du 31 mai 2006 consid. 1a; AC.2006.0247 du 31 janvier 2008 ).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(AC.2006.0247 et AC.2005.0278 précités; AC.1999.0199 du 26 mai 2000; AC.1996.0220 du 19 août 1998; AC.1995.0120 du 18 décembre 1997). En l'espèce, l'objet du litige est désormais la décision municipale communiquée par la municipalité le 12 octobre 2009. Les recourants en ont reçu copie avec les plans correspondants. Ils ne prétendent pas être gênés dans l'exercice de leur droit d'opposant par ce procédé. Ils perdent de vue que l'enquête n'est pas une formalité sacramentelle dont le moindre vice permettrait d'obtenir l'annulation du permis de construire (AC.2000.0067 du 6 avril 2005; AC.2001.0221 du 4 mai 2004). On peut même considérer qu'ils n'ont aucun intérêt digne de protection à ce que les plans qu'ils ont reçu avec la décision attaquée soient formellement mis à l'enquête, que ce soit sous la forme d'une enquête complémentaire ou pas. En effet, cela ne changerait rien à leur situation de voisin (v. pour plus de détail sur la recevabilité des moyens en regard du critère de l'intérêt digne de protection, p. ex. AC.2009.0053 du 30 septembre 2009).</w:t>
      </w:r>
    </w:p>
    <w:p>
      <w:r>
        <w:rPr>
          <w:b/>
        </w:rPr>
        <w:t>E. 2</w:t>
      </w:r>
    </w:p>
    <w:p>
      <w:r>
        <w:t>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w:t>
      </w:r>
    </w:p>
    <w:p>
      <w:r>
        <w:rPr>
          <w:b/>
        </w:rPr>
        <w:t>E. 3</w:t>
      </w:r>
    </w:p>
    <w:p>
      <w:r>
        <w:t>Ces règles sont également valables pour d'autres ouvrages que des dépendances proprement dites: murs de soutènement, clôtures, places de stationnement à l'air libre notamment.</w:t>
      </w:r>
    </w:p>
    <w:p>
      <w:r>
        <w:rPr>
          <w:b/>
        </w:rPr>
        <w:t>E. 4</w:t>
      </w:r>
    </w:p>
    <w:p>
      <w:r>
        <w:t>Ces constructions ne peuvent être autorisées que pour autant qu'elles n'entraînent aucun préjudice pour les voisins.</w:t>
      </w:r>
    </w:p>
    <w:p>
      <w:r>
        <w:rPr>
          <w:b/>
        </w:rPr>
        <w:t>E. 5</w:t>
      </w:r>
    </w:p>
    <w:p>
      <w:r>
        <w:t>Les considérants qui précèdent conduisent au rejet du recours et à la confirmation de la décision municipale du 12 octobre 2009. Les recourants, qui succombent, supporteront les frais du présent arrêt, ainsi que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