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AC.2009.0066 vom 4. Februar 2010</w:t>
      </w:r>
    </w:p>
    <w:p>
      <w:r>
        <w:t>VD Tribunal cantonal, 2010-02-04, FR</w:t>
      </w:r>
    </w:p>
    <w:p>
      <w:r>
        <w:rPr>
          <w:b/>
        </w:rPr>
        <w:t xml:space="preserve">Quelle: </w:t>
      </w:r>
      <w:r>
        <w:t>https://mcp.opencaselaw.ch/entscheid/vd_omni_AC.2009.0066</w:t>
      </w:r>
    </w:p>
    <w:p>
      <w:r>
        <w:t>FR: VD_OMNI AC.2009.0066 du 4 février 2010</w:t>
      </w:r>
    </w:p>
    <w:p>
      <w:r>
        <w:t>IT: VD_OMNI AC.2009.0066 del 4 febbraio 2010</w:t>
      </w:r>
    </w:p>
    <w:p>
      <w:pPr>
        <w:pStyle w:val="Heading2"/>
      </w:pPr>
      <w:r>
        <w:t>Regeste</w:t>
      </w:r>
    </w:p>
    <w:p>
      <w:r>
        <w:t>Nicole,Laurent et Maud RAVAY c/Municipalité de Grens, Service Immeubles, Patrimoine et Logistique | La construction d'une annexe basse à toit plat de dimensions modestes implantée en retrait de la façade principale d'une vieille ferme vaudoise dotée des notes 3 et 6 au recensement archtiectural respecte la clause d'esthétique et n'est pas préjudiciable au dégagement existant à cet endroit à travers le tissu villageois. La constructrice est libre de choisir l'adjonction d'une annexe plutôt que l'utilisation des larges volumes disponibles dans sa ferme pour étendre la surface habitable.</w:t>
      </w:r>
    </w:p>
    <w:p>
      <w:pPr>
        <w:pStyle w:val="Heading2"/>
      </w:pPr>
      <w:r>
        <w:t>Erwägungen</w:t>
      </w:r>
    </w:p>
    <w:p>
      <w:r>
        <w:rPr>
          <w:b/>
        </w:rPr>
        <w:t>E. 1</w:t>
      </w:r>
    </w:p>
    <w:p>
      <w:r>
        <w:t>La municipalité soutient que l’agrandissement projeté n’est pas adapté à l’aspect du bâtiment existant et invoque la violation de la clause d’esthétique. Elle estime que la nouvelle annexe porterait une atteinte directe à la « fenêtre verte » traversant le village à cet endroit et que les recourants devraient privilégier l’aménagement des volumes disponibles dans la ferme.</w:t>
      </w:r>
    </w:p>
    <w:p>
      <w:r>
        <w:rPr>
          <w:b/>
        </w:rPr>
        <w:t>E. 2</w:t>
      </w:r>
    </w:p>
    <w:p>
      <w:r>
        <w:t>Le recensement architectural du canton de Vaud n'est pas prévu dans la loi du 10 décembre 1969 sur la protection de la nature, des monuments et des sites (LPNMS; RSV 450.11). C'est l'art. 30 du règlement d'application du 22 mars 1989 (RLPNMS; RSV 450.11.1) qui prescrit que le département établit le recensement architectural des constructions en collaboration avec les communes concernées. Selon l'art. 31 RLPNMS, le recensement architectural sert de base à l'inventaire prévu à l'art. 49 LPNMS, mais ne doit pas être confondu avec celui-ci (ni avec l'inventaire des sites construits d'importance cantonale qui figure dans le plan directeur cantonal; voir à ce propos AC.1991.0121 du 11 mai 1992). Le recensement architectural couvre en principe tous les bâtiments et n'entraîne pas en soi de mesures de protection spéciale au sens des art. 16 et 17 LPNMS (objets à l'inventaire) ou des art. 23 et 54 LPNMS (objets classés). Il s'agit d'un élément d'appréciation dans le cadre de la protection générale des monuments historiques et des antiquités - en particulier des monuments de la préhistoire, de l'histoire de l'art et de l'architecture ainsi que les antiquités mobilières et immobilières trouvées dans le canton et qui présentent un intérêt archéologique, historique, artistique, scientifique ou éducatif - découlant des art. 46 ss LPNMS. Le recensement architectural implique l'attribution de notes allant de 1 à 7 correspondant à des qualités architecturales décroissantes (v. à ce sujet « Recensement architectural du canton de Vaud » , plaquette éditée par la Section des Monuments historiques et archéologie du Service des bâtiments [actuellement SIPAL], novembre 1995). Ces notes sont les suivantes: 1. monument d'importance nationale</w:t>
      </w:r>
    </w:p>
    <w:p>
      <w:r>
        <w:rPr>
          <w:b/>
        </w:rPr>
        <w:t>E. 5</w:t>
      </w:r>
    </w:p>
    <w:p>
      <w:r>
        <w:t>objet présentant des qualités et des défauts 2. monument d'importance régionale</w:t>
      </w:r>
    </w:p>
    <w:p>
      <w:r>
        <w:rPr>
          <w:b/>
        </w:rPr>
        <w:t>E. 6</w:t>
      </w:r>
    </w:p>
    <w:p>
      <w:r>
        <w:t>objet sans intérêt 3. objet intéressant au niveau local</w:t>
      </w:r>
    </w:p>
    <w:p>
      <w:r>
        <w:rPr>
          <w:b/>
        </w:rPr>
        <w:t>E. 7</w:t>
      </w:r>
    </w:p>
    <w:p>
      <w:r>
        <w:t>objet altérant le site 4. objet bien intégré L’attribution d’une note 3 indique que le bâtiment mérite d’être conservé, mais qu’il peut cependant être modifié à condition de ne pas altérer les qualités qui ont justifié sa note. En pratique, une note 3 n'implique plus systématiquement l'inscription de l'objet à l'inventaire (tel était le cas jusqu'en 1987, voir plaquette précitée p. 16). Quant à la note 6, elle est attribuée aux constructions répondant à la définition d’objets sans intérêt, selon la définition suivante (plaquette précitée p.17): « Le bâtiment ne présente pas de qualités prépondérantes ni du point de vue de son intégration, ni de son architecture, ni de son histoire. Il est considéré comme neutre, sans intérêt. Sa présence ou son absence ne sont pas déterminantes pour l’harmonie du site. C’est souvent le cas de bâtiments annexes ou de constructions récentes élevées dans un tissu ancien. » Dans la Commune de Grens, la protection des sites et du paysage est notamment assurée par l’art. 10.1 RPC qui est libellé comme suit: « Dans les limites de ses prérogatives, la Municipalité prend toutes mesures pour sauvegarder les sites et éviter l’altération du paysage. Ainsi, les constructions, les installations et les aménagements qui, par leur destination ou leur apparence, sont de nature à porter atteinte à la qualité d’un ouvrage ou d’un ensemble digne de protection, à l’aspect d’un site ou au paysage en général, ne sont pas admis. Sur une propriété, l’octroi d’un permis de construire pour une réalisation nouvelle ou des transformations importantes peut être subordonné à l’exécution de travaux ayant pour effet de remédier à un état existant qui n’est pas satisfaisant. » 3. a) L'art. 86 de la loi vaudoise du 4 décembre 1985 (LATC; RSV 700.11)  prévoit que la municipalité doit veiller à ce que les constructions et les aménagements qui leur sont liés présentent un aspect architectural satisfaisant et s'intègrent à l'environnement (al. 1) et lui impose de refuser les permis pour les constructions ou les démolitions susceptibles de compromettre l'aspect ou le caractère d'un site, d'une localité, d'un quartier ou d'une rue ou de nuire à l'aspect d'un édifice de valeur historique, artistique ou culturelle (al. 2). En pratique, la protection générale des art. 46 ss LPNMS, dont le recensement architectural constitue l’un des éléments d’appréciation, se concrétise dans le cadre de l’application de la clause d’esthétique et dans la pesée des intérêts en présence qu’elle implique. Dans sa jurisprudence, le Tribunal fédéral a dégagé des principes pour l’application de la clause d’esthétique. Il a jugé qu’il incombait au premier chef aux autorités municipales de veiller à l'aspect architectural des constructions, qui disposaient à cet égard d'un large pouvoir d'appréciation (voir notamment ATF 115 Ia 370 consid. 3; 115 Ia 363 consid. 2 c; 115 Ia 114 consid. 3d; ATF 101 Ia 213 consid. 6a, RDAF 1987, 155; voir aussi Droit vaudois de la construction, note 3 ad art. 86 LATC). Dans ce cadre, l'autorité doit néanmoins prendre garde à ce que la clause d'esthétique ne vide pas pratiquement de sa substance la réglementation de la zone en vigueur (ATF 115 Ia 114; 114 Ia 345 consid. 4 b).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Il faut alors que l'utilisation des possibilités de construire réglementaires apparaisse déraisonnable et irrationnelle (ATF M. c/ Ormont-Dessus, du 1er novembre 1989; ATF 115 Ia 114; 115 Ia 345; 114 Ia 345; ATF 101 Ia 213; AC.1993.0125 du 2 mai 1994). Dès lors que l'autorité municipale dispose dans ce domaine d'un large pouvoir d'appréciation, le Tribunal administratif observe une certaine retenue dans l'examen du problème, en ce sens qu'il ne substitue pas sans autre son propre pouvoir d'appréciation à celui de l'autorité municipale (AC.1993.0034 du 29 décembre 1993). En effet, l'autorité de recours ne revoit que l'abus ou l'excès du pouvoir d'appréciation, dans la mesure où il s'agit de questions dont la solution dépend étroitement des circonstances locales (art. 36 let. a LJPA; AC.1992.0101, du 7 avril 1993).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(AC.1993.0240 du 19 avril 1994; AC.1993.0257 du 10 mai 1994; AC.1995.0268 du 1er mars 1996; AC.1999.0228 du 18 juillet 2000; AC.1998.0166 du 20 avril 2001). b) Se fondant sur l'art. 86 al. 3 LATC, la Commune de Grens a adopté les art. 7.1 et 7.2 RPC, qui ont la teneur suivante : « 7.1 La Municipalité prend toutes mesures pour éviter l’enlaidissement du territoire communal et les nuisances. Les bâtiments et les installations qui, par leur destination, leur forme ou leur proportion, sont de nature à nuire à l’aspect d’un site ou à compromettre l’harmonie ou l’homogénéité d’un quartier ou d’une rue ou qui portent atteinte à l’environnement ne sont pas admis. 7.2     Dans la zone village et dans la zone extension du village, les constructions nouvelles par leurs formes, leur volume, leur longueur, leurs proportions, l’architecture de leurs façades et de leurs toitures, notamment la forme et le rythme des percements, leur couleur et les matériaux utilisés doivent s’insérer à l’ensemble de façon à former un tout homogène. Les toitures sont dans la règle à deux pans. [...]. » 4. En l’espèce, la ferme litigieuse présente des qualités architecturales et historiques indéniables, qui lui ont d’ailleurs valu une note 3 au recensement architectural du canton. Cette note concerne toutefois la partie sud-ouest de la ferme datant de 1804, composée de l’habitation historique et du rural. Elle ne s’étend pas à l’extension ultérieure au nord-est, dotée de la note 6 et dépourvue d’intérêt sur le plan de la protection du patrimoine. Selon le projet litigieux, la nouvelle annexe sera accolée à cette façade nord-est. Elle ne portera ainsi pas une atteinte directe à un élément du patrimoine bâti digne de conservation. Sur le plan global, la volumétrie de l’ensemble du bâtiment ne sera pas significativement altérée par le projet puisque l’agrandissement envisagé consiste en une construction d’un seul niveau implantée en retrait de la façade principale. Pendant l’inspection locale, le SIPAL a relevé que, lors de l’agrandissement de bâtiments anciens, il était préférable de ne pas rechercher le mimétisme architectural mais plutôt le contraste. C’est précisément ce que propose le projet querellé, favorisant une architecture contemporaine à toit plat et évitant ainsi l’écueil qui consisterait à construire du « faux vieux ». Tel est d’ailleurs également l’option que la Commune de Grens a jugée opportune de privilégier lors de la réfection du bâtiment de la Fruitière, qui dispose désormais également d’une annexe moderne basse à toit plat. En définitive, comme il a été conçu, discret en retrait de la façade principale, le projet n’est pas susceptible de porter atteinte à l’harmonie de la ferme et de ses abords, avec lesquels il s’intégrera à satisfaction. Quant à la « fenêtre verte » invoquée par la municipalité, le Tribunal n’en a pas trouvé trace dans la règlementation communale versée au dossier. Selon les déclarations des représentants de la municipalité, il s’agirait plutôt d’un souvenir d’une réflexion élaborée dans le cadre de l’adoption du plan d’affectation communal. Dans ces circonstances, à défaut de base légale consacrant expressément la préservation de ce dégagement à travers le village, la municipalité n’est pas en mesure d’opposer aux recourants une règle contraignante. Aussi restent seules applicables les règles générales sur la protection des sites et l’esthétique. Sur place, le Tribunal a constaté que l’annexe litigieuse ne portait pas atteinte au dégagement existant sur le lac depuis la route cantonale 23e. La construction projetée s’inscrira en effet dans le même axe qu’un cabanon de jardin/jacuzzi existant sur la parcelle des recourants, de sorte que la vue sur le lac et le chalet en aval n’en sera pas péjorée. De même, le Tribunal a constaté que, depuis la fontaine située en contrebas, l’extension projetée ne cachera pas les arbres situés au-delà de la rue du Village, l’adjonction demeurant plus basse qu’une annexe d’ores et déjà existante en arrière-plan. Cela étant, le projet ne portera pas une atteinte significative à la percée bienvenue existant entre la ferme et le bâtiment de la Fruitière, que les recourants eux-mêmes ont d’ailleurs déclaré souhaiter préserver. Au demeurant, l’ouverture transversale en cause paraît de toute façon déjà préservée par la limite des constructions telle qu’elle est figurée sur le plan de situation du géomètre. La municipalité fait encore grief aux recourants de privilégier un agrandissement du bâtiment existant plutôt que d’en utiliser les larges volumes disponibles à l’intérieur. Or la municipalité oublie que la propriétaire recourante bénéficie de la garantie constitutionnelle de la propriété (art. 26 al. 1 et 36 de la Constitution fédérale de la Confédération suisse du 19 avril 1999, RS 101; AC.2007.0224 du 19 mars 2008 consid. 5) et que, à ce titre, elle est libre d’utiliser sa parcelle et de construire selon son bon vouloir, à la condition que ses choix ne soient pas en contradiction avec les dispositions légales applicables. Or tel n’est pas le cas en l’espèce, aucune norme n’imposant à la recourante d’utiliser prioritairement l’espace existant dans sa ferme. En outre, les volumes incriminés sont déjà en partie utilisés pour le rangement ou les services du bâtiment. Leur usage à des fins d’habitation aurait vraisemblablement pour effet de déplacer au moins en partie les activités précitées à l’extérieur du bâtiment, la construction d’une annexe supplémentaire demeurant alors toujours d’actualité. Il sied encore de préciser que, de l’avis du SIPAL, le choix opéré par la recourante doit être salué car il permet de préserver le rural en l’état et de ne pas porter une nouvelle atteinte à la ferme historique. Au vu des considérants qui précèdent, il s’avère que la municipalité a manifestement abusé de son pouvoir d’appréciation en refusant de délivrer le permis de construire sollicité, toutes les dispositions légales étant respectées pour le surplus. 5. Par conséquent, le recours doit être admis et la décision attaquée annulée. Le dossier sera retourné à l’autorité intimée pour qu’elle délivre le permis de construire sollicité. La municipalité, qui succombe, supportera les frais du recours (art. 49 al. 1 de la loi du 28 octobre 2008 sur la procédure administrative [LPA-VD; RSV 176.36]) et versera des dépens aux recourants, qui obtiennent gain de cause en ayant procédé par l’intermédiaire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