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AC.2009.0019 vom 10. November 2009</w:t>
      </w:r>
    </w:p>
    <w:p>
      <w:r>
        <w:t>VD Tribunal cantonal, 2009-11-10, FR</w:t>
      </w:r>
    </w:p>
    <w:p>
      <w:r>
        <w:rPr>
          <w:b/>
        </w:rPr>
        <w:t xml:space="preserve">Quelle: </w:t>
      </w:r>
      <w:r>
        <w:t>https://mcp.opencaselaw.ch/entscheid/vd_omni_AC.2009.0019</w:t>
      </w:r>
    </w:p>
    <w:p>
      <w:r>
        <w:t>FR: VD_OMNI AC.2009.0019 du 10 novembre 2009</w:t>
      </w:r>
    </w:p>
    <w:p>
      <w:r>
        <w:t>IT: VD_OMNI AC.2009.0019 del 10 novembre 2009</w:t>
      </w:r>
    </w:p>
    <w:p>
      <w:pPr>
        <w:pStyle w:val="Heading2"/>
      </w:pPr>
      <w:r>
        <w:t>Regeste</w:t>
      </w:r>
    </w:p>
    <w:p>
      <w:r>
        <w:t>SCHAFFTER CALDI, CALDI, SONTHEIM/Département de la sécurité et de l'environnement, Municipalité de Nyon, Municipalité de Trélex | Portée des Instructions pratiques fédérales relatives à la délimitation des zones de protection des eaux souterraines, dans leurs versions de 1977/1982 puis de 2004. Seul le milieu karstique (ou fissuré) doit conduire à un dimensionnement spécifique de ces zones, à l'exclusion du milieu en roches meubles. Les recourants ne démontrent pas que des motifs sérieux seraient susceptibles de remettre en cause le dimensionnement des zones résultant du rapport du 30 janvier 2004, ni de rendre nécessaire une étude complémentaire. Restrictions des possibilités de construire et de transformer dans les zones S. En l'espèce, le maintien, respectivement le classement en zone S2 des parcelles des recourants respectent le principe de la proportionnalité.</w:t>
      </w:r>
    </w:p>
    <w:p>
      <w:pPr>
        <w:pStyle w:val="Heading2"/>
      </w:pPr>
      <w:r>
        <w:t>Erwägungen</w:t>
      </w:r>
    </w:p>
    <w:p>
      <w:r>
        <w:rPr>
          <w:b/>
        </w:rPr>
        <w:t>E. 1</w:t>
      </w:r>
    </w:p>
    <w:p>
      <w:r>
        <w:t>Sous l'empire de l'ancienne loi fédérale du 9 octobre 1971 sur la protection des eaux (RO 1972 958 et les modifications subséquentes) et de l'ancienne ordonnance générale du 19 juin 1972 sur la protection des eaux (RO 1972 967 et les modifications subséquentes), l'ancien Office fédéral de la protection de l'environnement a publié en 1977 des " Instructions pratiques pour la détermination des secteurs de protection des eaux, des zones et des périmètres de protection des eaux souterraines ". Le 28 septembre 1981 a été adoptée l'ancienne ordonnance sur la protection des eaux contre les liquides pouvant les altérer (OPEL; RO 1981 1644 et les modifications subséquentes). Les Instructions pratiques fédérales précitées ont été partiellement révisées en 1982 (ci-après: les Instructions 1977/1982). Par la suite, le législateur a adopté l'actuelle loi fédérale du 24 janvier 1991 sur la protection des eaux (LEaux; RS 814.20), entrée en vigueur le 1 er novembre 1992, l 'ancienne o rdonnance du 1 er juillet 1998 sur la protection des eaux contre les liquides pouvant les polluer (OPEL également; RO 1998 2019) et l'actuelle ordonnance du 28 octobre 1998 sur la protection des eaux (OEaux; RS 814.201), entrée en vigueur le 1 er janvier 1999. En 1998, l 'ancien Office fédéral de l'environnement, des forêts et du paysage a publié un document intitulé " Cartographie de la vulnérabilité en régions karstiques (méthode EPIK)". En 2004, il a édité de nouvelles " Instructions pratiques pour la protection des eaux souterraines " fondées sur la nouvelle législation sur les eaux (ci-après: les Instructions 2004). L'OEaux a encore subi plusieurs modifications, notamment par novelle du 18 octobre 2006 (RO 2006 4291) entrée en vigueur le 1er janvier 2007, qui a en particulier abrogé l'OPEL du 1 er juillet 1998.</w:t>
      </w:r>
    </w:p>
    <w:p>
      <w:r>
        <w:rPr>
          <w:b/>
        </w:rPr>
        <w:t>E. 2</w:t>
      </w:r>
    </w:p>
    <w:p>
      <w:r>
        <w:t>A cet effet, il mandate, à ses frais, un bureau technique qui établira un projet de plan à l'échelle 1:5 000, avec mention des limites de propriété, ainsi qu'une liste des restrictions jugées nécessaires à la protection du captage.</w:t>
      </w:r>
    </w:p>
    <w:p>
      <w:r>
        <w:rPr>
          <w:b/>
        </w:rPr>
        <w:t>E. 3</w:t>
      </w:r>
    </w:p>
    <w:p>
      <w:r>
        <w:t>(...)</w:t>
      </w:r>
    </w:p>
    <w:p>
      <w:r>
        <w:rPr>
          <w:b/>
        </w:rPr>
        <w:t>E. 4</w:t>
      </w:r>
    </w:p>
    <w:p>
      <w:r>
        <w:t>(...)</w:t>
      </w:r>
    </w:p>
    <w:p>
      <w:r>
        <w:rPr>
          <w:b/>
        </w:rPr>
        <w:t>E. 5</w:t>
      </w:r>
    </w:p>
    <w:p>
      <w:r>
        <w:t>Le Service des eaux, sols et assainissement fait établir un plan de délimitation des zones de protection SI, SII, SIII composé: d'un plan précisant les limites de propriété, le numéro des parcelles et mentionnant le nom des propriétaires intéressés, à l'échelle du plan cadastral; de la liste des restrictions d'utilisation des biens-fonds situées en zones SI, SII et SIII; d'une réglementation sur les installations existantes (mises en état ou mises hors service), dans le respect des buts fixés par la loi fédérale et du principe de la proportionnalité.</w:t>
      </w:r>
    </w:p>
    <w:p>
      <w:r>
        <w:rPr>
          <w:b/>
        </w:rPr>
        <w:t>E. 6</w:t>
      </w:r>
    </w:p>
    <w:p>
      <w:r>
        <w:t>Vu ce qui précède, le recours doit être rejeté dans la mesure de sa recevabilité et la décision attaquée confirmée, aux frais des recourants.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