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AC.2008.0315 vom 8. Juli 2010</w:t>
      </w:r>
    </w:p>
    <w:p>
      <w:r>
        <w:t>VD Tribunal cantonal, 2010-07-08, FR</w:t>
      </w:r>
    </w:p>
    <w:p>
      <w:r>
        <w:rPr>
          <w:b/>
        </w:rPr>
        <w:t xml:space="preserve">Quelle: </w:t>
      </w:r>
      <w:r>
        <w:t>https://mcp.opencaselaw.ch/entscheid/vd_omni_AC.2008.0315</w:t>
      </w:r>
    </w:p>
    <w:p>
      <w:r>
        <w:t>FR: VD_OMNI AC.2008.0315 du 8 juillet 2010</w:t>
      </w:r>
    </w:p>
    <w:p>
      <w:r>
        <w:t>IT: VD_OMNI AC.2008.0315 del 8 luglio 2010</w:t>
      </w:r>
    </w:p>
    <w:p>
      <w:pPr>
        <w:pStyle w:val="Heading2"/>
      </w:pPr>
      <w:r>
        <w:t>Regeste</w:t>
      </w:r>
    </w:p>
    <w:p>
      <w:r>
        <w:t>TANNER-TRITTEN/Municipalité de Yens, DUCROS, Service Immeubles, Patrimoine et Logistique | Recours d'une voisine contre la décision de la municipalité levant son opposition à l'aménagement d'un "jardin clos" devant une maison classée. Qualité pour agir admise. Le "jardin clos", qui comporte notamment deux murs hauts de 2,1 m surmontés d'une couvertine faisant galerie, ainsi qu'un (semi)couvert, est une dépendance, devant respecter la surface maximale de 30 m2 imposée par le règlement communal. A cet égard, l'ouvrage est à considérer dans son ensemble: à elles seules, les dimensions des couvertines et du couvert dépassent 30 m2. En outre, l'ouvrage ne correspond pas au "traitement sobre" des abords du bâtiment exigé par le SIPAL. Recours admis.</w:t>
      </w:r>
    </w:p>
    <w:p>
      <w:pPr>
        <w:pStyle w:val="Heading2"/>
      </w:pPr>
      <w:r>
        <w:t>Erwägungen</w:t>
      </w:r>
    </w:p>
    <w:p>
      <w:r>
        <w:rPr>
          <w:b/>
        </w:rPr>
        <w:t>E. 1</w:t>
      </w:r>
    </w:p>
    <w:p>
      <w:r>
        <w:t>a) Le présent recours a été formé sous l'empire de l'art. 37 al. 1 de l'ancienne loi du 18 décembre 1989 sur la juridiction et la procédure administratives (LJPA), en vigueur jusqu'au 1er janvier 2009. Selon cette disposition, le droit de recours appartient à toute personne physique ou morale qui est atteinte par la décision attaquée et a un intérêt digne de protection à ce qu'elle soit annulée ou modifiée. aa)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135 II 145 consid. 6.1 p. 150;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soit l'action populaire, est irrecevable (ATF 135 II 145 consid. 6.1 p. 150; 133 II 249 consid. 1.3.2. p. 253, 468 consid. 1 p. 470, et les arrêts cités). Le propriétaire d'un immeuble directement voisin de la construction ou de l'installation litigieuse a en principe la qualité pour recourir (ATF 121 II 171 consid. 2b p. 174; 115 Ib 508 consid. 5c p. 511). Cette qualité peut être reconnue même en l'absence de voisinage direct, lorsqu'une distance relativement faible sépare l'immeuble du recourant de la construction litigieuse (cf. ATF 121 II 171 consid. 2b p. 74 et la jurisprudence citée). La qualité pour agir a ainsi été admise notamment dans des cas où les parcelles litigieuses étaient distantes de 25 m (ATF 123 II 74 consid. non publié 1b), de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 du 1A.46/1998 du 9 novembre 1998 consid. 3c), 200 m (arrêt 1A.122/1983 du 2 novembre 1983, in ZBl 85/1984 p. 378, consid. 2a), 150 m (ATF 112 Ia 119 consid. 4b p. 123) et de 100 m (arrêt 1C_342/2008 consid. 2). La distance par rapport à l'objet du litige ne constitue toutefois pas l'unique critère pour déterminer la qualité pour agir du voisin. Le voisin peut, selon la topographie, le régime des vents, la situation des parcelles ou pour d'autres motifs encore, être touché plus que quiconque et se voir ainsi reconnaître la qualité pour recourir, alors même qu'il se trouverait à une distance relativement élevée de la construction litigieuse. Cette question dépend avant tout d'une appréciation de l'ensemble des éléments de fait juridiquement pertinents et, en particulier, de la nature et de l'intensité des nuisances susceptibles d'atteindre le voisin (arrêt 1A.98/1994 du 28 mars 1995, ZBl 96/1995 p. 528, consid. 2c; ATF 120 Ib 379 consid. 4c p. 387 et les références). Ainsi, s'il est certain ou très vraisemblable que l'installation litigieuse serait à l'origine d'immissions - bruit, vibrations, lumières ou autres - touchant spécialement les voisins, même situés à quelque distance, ces derniers peuvent avoir qualité pour recourir (cf. ATF 125 II 10 consid. 3a p. 15; arrêt 1A.179/1996 du 8 avril 1997, RDAF 1997 I 242, consid. 3a). bb) Ces critères concernent au premier chef la qualité pour recourir au Tribunal fédéral selon l'art. 103 let. a de l'OJ fédérale révisée en 1968, dont le législateur vaudois s'est directement inspiré lorsqu'il a adopté l'art. 37 al. 1 aLJPA. L'art. 103 let. a OJ est actuellement remplacé par l'art. 89 al. 1 LTF. En vertu de l'art. 111 al. 1 LTF, le Tribunal cantonal doit reconnaître la qualité pour recourir, dans la présente affaire, au minimum à toute partie qui pourra recourir au Tribunal fédéral selon l'art. 89 al. 1 LTF. En revanche, le droit fédéral n'exclut pas qu'en vertu du droit cantonal de procédure, la qualité pour recourir soit reconnue aussi à une partie qui, peut-être, ne pourra pas saisir le Tribunal fédéral, et il n'est pas non plus exclu que l'art. 37 al. 1 aLJPA reçoive, du Tribunal cantonal, une interprétation différente, plus étendue, que celle actuellement attribuée à l'art. 89 al. 1 LTF par la jurisprudence du Tribunal fédéral. b) En l'espèce, la recourante est propriétaire de la pension pour personnes âgées Le Léman, un bâtiment de plusieurs étages situé au haut de la route de l'Abbaye, au Nord-Ouest de la parcelle 1'884 des constructeurs. Il ressort du procès-verbal et compte-rendu d'audience que le garage soutenant le jardin litigieux est situé à plus de 30 m de la pension, en aval; depuis le troisième étage du bâtiment de la recourante, la vue plonge sur la propriété des constructeurs, notamment sur le jardin clos, presque entièrement caché par les arbres plantés, en particulier les six pins précités. Au deuxième étage, la vue en direction de la propriété des constructeurs était, du moins lors de l'audience (en août) également masquée par l'écran de verdure poussant sur la propriété des constructeurs. L'une des photographies déposées par le constructeur le 28 mai 2010, prise depuis les balcons de la pension le Léman à un étage indéterminé, à ses dires en automne, à une époque où les feuilles caduques étaient déjà tombées, montre en revanche que le jardin clos, du moins les murs destinés au couvert sur fontaine, est visible depuis la parcelle de la recourante. Il en irait d'autant plus du couvert proprement dit, s'il devait être posé. Dans ces conditions, le tribunal retient, sous l'angle de l'art. 37 aLJPA, qu'il n'y a pas lieu de déroger au principe selon lequel les voisins ont qualité pour recourir. Le recours est donc - tout juste - recevable sous cet angle. c) Par ailleurs, même s'il est succinct, le recours expose de manière suffisante ses motifs et conclusions au regard des exigences de motivation de l'art. 31 al. 2 aLJPA.</w:t>
      </w:r>
    </w:p>
    <w:p>
      <w:r>
        <w:rPr>
          <w:b/>
        </w:rPr>
        <w:t>E. 2</w:t>
      </w:r>
    </w:p>
    <w:p>
      <w:r>
        <w:t>Sur le fond, il sied de rappeler en liminaire que les plans autorisés selon les permis n os 450, 510 et 511, en particulier le garage souterrain supportant le jardin clos litigieux, sont entrés en force et ne peuvent être remis en cause.</w:t>
      </w:r>
    </w:p>
    <w:p>
      <w:r>
        <w:rPr>
          <w:b/>
        </w:rPr>
        <w:t>E. 3</w:t>
      </w:r>
    </w:p>
    <w:p>
      <w:r>
        <w:t>Ces règles sont également valables pour d'autres ouvrages que des dépendances proprement dites: murs de soutènement, clôtures, places de stationnement à l'air libre notamment.</w:t>
      </w:r>
    </w:p>
    <w:p>
      <w:r>
        <w:rPr>
          <w:b/>
        </w:rPr>
        <w:t>E. 4</w:t>
      </w:r>
    </w:p>
    <w:p>
      <w:r>
        <w:t>La recourante soutient ensuite que le projet n'est pas conforme aux exigences de l'esthétique et de l'intégration au site. a) L’art. 86 LATC a la teneur suivante: Art. 86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AC.2004.0102 du 6 avril 2005).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(arrêts AC.2004.0049 du 11 octobre 2004; AC.1993.0034 du 29 décembre 1993; AC.1992.0101 du 7 avril 1993).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AC.1995.0268 du 1er mars 1996; AC.1993.0240 du 19 avril 1994). b) En l'espèce, le règlement communal ne prévoit pas de règle d'esthétique expressément relative aux surfaces de " prolongements extérieurs ". Il dispose en revanche, à ses art. 9, 10 et 11 relatifs aux surfaces " constructibles " en zone de village, où est colloquée la Maison Rose proprement dite: Article 9  Ensemble architectural Tous les bâtiments prévus dans un secteur font partie d’un même ensemble architectural. La Municipalité est en droit de refuser le permis ou d’exiger des modifications pour tout projet dont l'architecture nuirait à l’esprit d’ensemble. Article 10  Esthétique L’aspect extérieur des bâtiments, leurs proportions, les matériaux et les teintes doivent s’harmoniser entre eux. Article 11  Transformations Pour chaque transformation, la Municipalité fera référence au recensement architectural du village, afin de déterminer les éléments d’harmonisation de l’îlot concerné. Sur les plans d’enquêtes, les bâtiments voisins de celui projeté ou pour lequel une modification est prévue seront présentés en élévation, de manière à rendre intelligible l’harmonisation de la nouvelle construction. Le règlement communal dispose encore, à son art. 37 applicable à toutes les zones: Article 37  Esthétique générale La Municipalité peut prendre toutes mesures pour éviter l’enlaidissement du territoire communal. Les dépôts et entrepôts à l’air libre ne sont tolérés qu’avec un accord de la Municipalité qui statue notamment en fonction: — du type de dépôt — des exigences de la profession de l'utilisateur. La Municipalité peut exiger la plantation d’arbres, de groupes d’arbres ou de haies pour masquer les installations existantes. Elle peut fixer les essences. c) La municipalité rappelle que les façades Nord et Sud du bâtiment la Maison Rose sont protégées. S'agissant toutefois du jardin clos, celui-ci serait surélevé par rapport à la route et invisible pour les tiers. Le projet s'intègrerait dans l'ensemble réalisé et n'enlaidirait en aucune manière le bâtiment propriété du constructeur, respectivement le paysage communal, pour autant que cela soit visible. Quant au constructeur, il affirme que les aménagements sont quasiment invisibles et conformes à l'esthétique du village, lequel comprend plusieurs fontaines/lavoirs, recouverts de la même manière que les travaux envisagés. Au demeurant, la fontaine du village sise le long de la route de l'Abbaye (cf. rectangle au Nord des plans figurant dans la partie en fait) était à l'origine recouverte par la grange attenante à la Maison Rose, démolie depuis. d) Le bâtiment principal sis sur la parcelle 1'884 est une maison de maître, classée comme monument historique par arrêté du 27 septembre 1991. Cet arrêté précise, à son art. 2, que le classement s'étend à l'ensemble du bâtiment. D'après l'art. 3, toutes réparations, modifications ou transformations de l'objet classé devront, au préalable, recevoir l'approbation du département compétent. L'arrêté précisait par ailleurs concerner la parcelle n° 1'786 (dans son état de l'époque). Il résulte de ce qui précède que l'arrêté couvre, à strictement parler, exclusivement le bâtiment. La parcelle 1'786 dans son état de l'époque ne s'étendait du reste pas à la surface d'implantation du jardin clos, qui appartenait à la parcelle 1'884. Dans la synthèse CAMAC, le SIPAL a indiqué qu'il n'avait " pas de remarques à formuler ". Toutefois, dans la mesure où le jardin clos constitue l'aménagement extérieur du bâtiment protégé, il participe nécessairement à l'aspect de celui-ci, de sorte que son esthétique ne saurait être appréciée isolément, mais en lien étroit avec la maison. A cet égard, il sied de tenir compte du courrier du SIPAL du 8 février 2002, auquel ce service s'est expressément référé dans son préavis relatif au projet de transformation, construction d'une piscine, modifications du jardin d'hiver et du parking, création d'un biotope (CAMAC 48658, permis n° 510). Dans ce document, le SIPAL déplorait que la Maison Rose ait perdu à chaque intervention un peu plus de sa substance, relevait que le projet devait néanmoins être jugé en tenant compte des acquis, et considérait par conséquent que l'accent devait être désormais porté sur " l'impression d'ensemble " qui se dégagera du site. Il précisait qu'il faudrait pour cela veiller, notamment, à " un traitement sobre " des " abords " du bâtiment. A l'évidence, le jardin clos, volumineux et apprêté, et dont l'architecture est par sa fonction et son échelle totalement étrangère à celle de la Maison Rose, ne correspond pas à la sobriété légitimement attendue par le SIPAL. Le recours doit ainsi également être admis pour ce motif.</w:t>
      </w:r>
    </w:p>
    <w:p>
      <w:r>
        <w:rPr>
          <w:b/>
        </w:rPr>
        <w:t>E. 5</w:t>
      </w:r>
    </w:p>
    <w:p>
      <w:r>
        <w:t>La recourante soutient ensuite que le jardin clos n'observe pas les limites de construction exigées par la loi sur les routes. Compte tenu de l'issue du recours, la question souffre de demeurer indécise, étant précisé à toutes fins utiles qu'il est ressorti à l'audience que le garage n'a pas fait l'objet d'une convention de précarité (cf. procès-verbal et compte-rendu).</w:t>
      </w:r>
    </w:p>
    <w:p>
      <w:r>
        <w:rPr>
          <w:b/>
        </w:rPr>
        <w:t>E. 6</w:t>
      </w:r>
    </w:p>
    <w:p>
      <w:r>
        <w:t>Le jardin clos ne respectant pas les exigences prévues par l'art. 12 RPE et par les art. 9, 10, 11 ou 37 RPE, respectivement par l'art. 86 LATC applicable selon le renvoi de l'art. 65 RPE, le recours doit être admis. La décision attaquée doit être annulée et le dossier renvoyé à la municipalité afin qu'elle statue sur les travaux de remise en état qu'il se justifie d'ordonner au constructeur. Un émolument judiciaire est mis à la charge du constructeur, lequel sera également chargé d'une indemnité pour les dépens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