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AC.2008.0285 vom 28. Oktober 2009</w:t>
      </w:r>
    </w:p>
    <w:p>
      <w:r>
        <w:t>VD Tribunal cantonal, 2009-10-28, FR</w:t>
      </w:r>
    </w:p>
    <w:p>
      <w:r>
        <w:rPr>
          <w:b/>
        </w:rPr>
        <w:t xml:space="preserve">Quelle: </w:t>
      </w:r>
      <w:r>
        <w:t>https://mcp.opencaselaw.ch/entscheid/vd_omni_AC.2008.0285</w:t>
      </w:r>
    </w:p>
    <w:p>
      <w:r>
        <w:t>FR: VD_OMNI AC.2008.0285 du 28 octobre 2009</w:t>
      </w:r>
    </w:p>
    <w:p>
      <w:r>
        <w:t>IT: VD_OMNI AC.2008.0285 del 28 ottobre 2009</w:t>
      </w:r>
    </w:p>
    <w:p>
      <w:pPr>
        <w:pStyle w:val="Heading2"/>
      </w:pPr>
      <w:r>
        <w:t>Regeste</w:t>
      </w:r>
    </w:p>
    <w:p>
      <w:r>
        <w:t>FAVROD-COUNE/Service du développement territorial, Municipalité de Château-d'Oex, Service Immeubles, Patrimoine et Logistique | Ajout d'un tambour d'entrée de forme triangulaire en bois massif travaillé et verre, sur un bâtiment d'habitation de 1813 qui a reçu la note 3 au recensement architectural, sis en zone agricole, dans le but d'en améliorer l'isolation. La construction occupe 1,5 m2 au sol sur le sommet de l'escalier d'accès. Il ne s'agit par conséquent pas d'un agrandissement mais d'un simple aménagement extérieur. Il n'y a pas lieu de le refuser au motif que l'habitation dépasse déjà 180 m2, limite qui n'est pas strictement établie pas les dispositions applicables ni la jurisprudence. La protection du bâtiment ne s'oppose pas non plus aux travaux. Ils peuvent donc être admis sous l'angle de l'art. 16a LAT.</w:t>
      </w:r>
    </w:p>
    <w:p>
      <w:pPr>
        <w:pStyle w:val="Heading2"/>
      </w:pPr>
      <w:r>
        <w:t>Erwägungen</w:t>
      </w:r>
    </w:p>
    <w:p>
      <w:r>
        <w:rPr>
          <w:b/>
        </w:rPr>
        <w:t>E. 1</w:t>
      </w:r>
    </w:p>
    <w:p>
      <w:r>
        <w:t>Hors de la zone à bâtir, les constructions et installations qui peuvent être utilisées conformément à leur destination mais qui ne sont plus conformes à l’affectation de la zone bénéficient en principe de la garantie de la situation acquise.</w:t>
      </w:r>
    </w:p>
    <w:p>
      <w:r>
        <w:rPr>
          <w:b/>
        </w:rPr>
        <w:t>E. 2</w:t>
      </w:r>
    </w:p>
    <w:p>
      <w:r>
        <w:t>Le moment déterminant pour l'appréciation du respect de l'identité est l'état de la construction ou de l'installation au moment de la modification de la législation ou des plans d'aménagement</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 2 ; les agrandissements effectués à l’intérieur du volume bâti existant ne comptent que pour moitié.</w:t>
      </w:r>
    </w:p>
    <w:p>
      <w:r>
        <w:rPr>
          <w:b/>
        </w:rPr>
        <w:t>E. 4</w:t>
      </w:r>
    </w:p>
    <w:p>
      <w:r>
        <w:t>Au vu de ce qui précède, le recours doit être admis et la décision attaquée annulée. Le dossier sera retourné au SDT et à la municipalité afin qu’ils délivrent les autorisations requises. Il n'y a pas lieu d'allouer des dépens au recourant qui, bien qu'il obtienne gain de cause, n'a pas procédé par le biais d'un mandataire professionnel. Les frais sont laissés à la charge de l'Etat (art. 52 de la loi cantonale sur la procédure administrative, LPA-VD,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