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AC.2008.0257 vom 9. April 2009</w:t>
      </w:r>
    </w:p>
    <w:p>
      <w:r>
        <w:t>VD Tribunal cantonal, 2009-04-09, FR</w:t>
      </w:r>
    </w:p>
    <w:p>
      <w:r>
        <w:rPr>
          <w:b/>
        </w:rPr>
        <w:t xml:space="preserve">Quelle: </w:t>
      </w:r>
      <w:r>
        <w:t>https://mcp.opencaselaw.ch/entscheid/vd_omni_AC.2008.0257</w:t>
      </w:r>
    </w:p>
    <w:p>
      <w:r>
        <w:t>FR: VD_OMNI AC.2008.0257 du 9 avril 2009</w:t>
      </w:r>
    </w:p>
    <w:p>
      <w:r>
        <w:t>IT: VD_OMNI AC.2008.0257 del 9 aprile 2009</w:t>
      </w:r>
    </w:p>
    <w:p>
      <w:pPr>
        <w:pStyle w:val="Heading2"/>
      </w:pPr>
      <w:r>
        <w:t>Regeste</w:t>
      </w:r>
    </w:p>
    <w:p>
      <w:r>
        <w:t>CADU-INVEST SA/Municipalité de Villars-Le-Grand | Permis de construire refusé sur la base de la clause d'esthétique. Le projet, prévoyant deux immeubles - comportant 4 étages habitables et atteignant une hauteur à la corniche de 9 m -, serait de nature à former un contraste trop important avec les bâtiments environnants - moins volumineux - implantés dans la zone de village de Villars-le-Grand, qui présente une homogénéité digne d'être sauvegardée.</w:t>
      </w:r>
    </w:p>
    <w:p>
      <w:pPr>
        <w:pStyle w:val="Heading2"/>
      </w:pPr>
      <w:r>
        <w:t>Erwägungen</w:t>
      </w:r>
    </w:p>
    <w:p>
      <w:r>
        <w:rPr>
          <w:b/>
        </w:rPr>
        <w:t>E. 1</w:t>
      </w:r>
    </w:p>
    <w:p>
      <w:r>
        <w:t>La recourante fait valoir que la municipalité a commis un excès ou un abus de son pouvoir d’appréciation en considérant que les immeubles projetés ne s’harmoniseraient pas avec les constructions environnantes. Ce faisant, elle aurait mal appliqué la clause de l’esthétique. a) Selon l’art. 6 RC, la zone du village doit être aménagée de façon à conserver son ambiance caractéristique, c’est-à-dire, maintenir, au sein du domaine bâti, un jeu d’espaces libres destinés à la culture potagère et aux dégagements fonctionnels des exploitations. L’art. 10 RC prévoit que la hauteur à la corniche est comprise entre 6 m et 9 m, les combles étant habitables (al. 1) ; les bâtiments agricoles ne sont pas soumis à cette condition (al. 2). L’art. 14 RC précise que les transformations ou constructions nouvelles devront s’harmoniser avec les constructions environnantes, notamment dans la forme, les dimensions et les teintes. Aux termes de l'art. 42 RC (règle générale applicable à toutes les zones), la municipalité peut prendre toutes mesures pour éviter l'enlaidissement du territoire communal (al. 1) et les constructions, agrandissements, transformations de toutes espèces, les crépis et les peintures, les affiches, etc., de nature à nuire au bon aspect d'un lieu sont interdits (…) (al. 3). b) Les dispositions du règlement communal mentionnées ci-dessus constituent des dispositions d’application de l’art. 86 de la loi cantonale du 4 décembre 1985 sur l’aménagement du territoire et les constructions (LATC ; RSV 700.11), qui prévoit ce qui suit: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en application de l'art. 33 al. 3 let. b de la loi fédérale du 22 juin 1979 sur l’aménagement du territoire (LAT, RS 700) (voir notamment les ATF 118 Ia 235 consid. 1b, 117 Ia 93 consid. 2a, 112 Ia 90, 415 consid. 1b 1 ainsi que l'ATF 118 Ib 31 consid. 4b et l'arrêt TA AC 94/0062 du 9 janvier 1996 consid. 3 c aa/c bb p. 9 à 10 et arrêt AC 1998/0005 du 30 avril 1999).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w:t>
      </w:r>
    </w:p>
    <w:p>
      <w:r>
        <w:rPr>
          <w:b/>
        </w:rPr>
        <w:t>E. 2</w:t>
      </w:r>
    </w:p>
    <w:p>
      <w:r>
        <w:t>a) A titre préalable, il y a lieu de souligner que, d’après l’art. 10 RC (applicable dans la zone du village), la hauteur à la corniche est comprise entre 6 m et 9 m, les combles étant habitables (al. 1) ; les bâtiments agricoles ne sont pas soumis à cette condition (al. 2). Il s’ensuit que cette disposition réglementaire confère un pouvoir d’appréciation particulièrement large à la municipalité pour décider de la hauteur à la corniche des bâtiments construits dans la zone du village, en fonction notamment des circonstances locales. On peut donc se demander si le projet de construction, qui prévoit une hauteur à la corniche maximum de 9 m, ne pouvait pas être interdit déjà sur la base de l’art. 10 RC qui fait partie des règles en matière de police des constructions. Point n’est besoin d’examiner plus avant cette question, du moment que le permis de construire pouvait de toute façon être refusé sur la base de la clause de l’esthétique. b) En effet, la vision des lieux a permis de constater que le village de Villars-le-Grand présente des qualités esthétiques indéniables. La zone du village est composée pour l’essentiel de constructions à vocation agricole et d’anciens ruraux rénovés et transformés en habitations, qui forment une unité architecturale harmonieuse. Ces maisons villageoises – de style traditionnel – sont caractérisées par trois niveaux habitables au maximum (rez-de-chaussée, étage et combles) et par une hauteur à la corniche inférieure à 9 m. Ainsi, force est d’admettre que, vu leurs dimensions imposantes, les immeubles projetés (comportant quatre niveaux habitables) ne s’harmoniseraient pas avec les constructions environnantes et ne s’intègreraient pas dans le tissu villageois existant ; les constructions projetées formeraient par leur volume un contraste trop important avec les bâtiments environnants, de nature à rompre l’aspect et l’unité de la zone du village. Certes, la vision locale a permis de constater qu’il existait un (unique) bâtiment d’habitation situé à la rue Rochette, 8, dont la hauteur à la corniche était de 9 m et comprenant quatre niveaux habitables. Il s’agissait toutefois d’une « tranche » de maison étroite et s’insérant dans une suite d’autres bâtiments construits en ordre contigu, lesquels avaient tous trois niveaux habitables et une hauteur à la corniche inférieure à 9 m. La recourante ne peut donc rien déduire de ce cas isolé, d’autant que ce bâtiment est très bien intégré aux constructions environnantes. N’est pas non plus décisif le fait qu’il existe à proximité (à l’arrière-plan) de la parcelle n°125 un hangar à tabac dont la hauteur à la corniche est égale ou supérieure à 9 m, dans la mesure où il est situé en zone agricole, qui est régi par d’autres règles. En résumé, c’est à juste titre que la municipalité a retenu que les constructions projetées affecteraient de par leurs dimensions les caractéristiques et l’équilibre de la zone du village, qui présente une homogénéité et des spécificités qu’il convient de préserver autant que possible en imposant un volume de construction donné (trois niveaux habitables au maximum). La municipalité n’a en tout cas pas commis un excès ou un abus de son large pouvoir d’appréciation en refusant de délivrer le permis de construire à la recourante. A noter que la cour cantonale doit ici faire preuve d’une grande retenue dans la  mesure où la question de l’esthétique et de l’intégration relève en premier lieu de l’appréciation de l’autorité communale.</w:t>
      </w:r>
    </w:p>
    <w:p>
      <w:r>
        <w:rPr>
          <w:b/>
        </w:rPr>
        <w:t>E. 3</w:t>
      </w:r>
    </w:p>
    <w:p>
      <w:r>
        <w:t>Vu ce qui précède, le recours doit être rejeté et la décision attaquée maintenue. Succombant, la recourante doit supporter un émolument judiciaire et allouer des dépens à la municipalité,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