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AC.2008.0235 vom 30. Juni 2009</w:t>
      </w:r>
    </w:p>
    <w:p>
      <w:r>
        <w:t>VD Tribunal cantonal, 2009-06-30, FR</w:t>
      </w:r>
    </w:p>
    <w:p>
      <w:r>
        <w:rPr>
          <w:b/>
        </w:rPr>
        <w:t xml:space="preserve">Quelle: </w:t>
      </w:r>
      <w:r>
        <w:t>https://mcp.opencaselaw.ch/entscheid/vd_omni_AC.2008.0235</w:t>
      </w:r>
    </w:p>
    <w:p>
      <w:r>
        <w:t>FR: VD_OMNI AC.2008.0235 du 30 juin 2009</w:t>
      </w:r>
    </w:p>
    <w:p>
      <w:r>
        <w:t>IT: VD_OMNI AC.2008.0235 del 30 giugno 2009</w:t>
      </w:r>
    </w:p>
    <w:p>
      <w:pPr>
        <w:pStyle w:val="Heading2"/>
      </w:pPr>
      <w:r>
        <w:t>Regeste</w:t>
      </w:r>
    </w:p>
    <w:p>
      <w:r>
        <w:t>PASQUIER/Municipalité de Morges, Service des forêts, de la faune et de la nature | Recours contre le refus d'abattage ou d'élagage de deux hêtres protégés plantés sur un quai public bordant le Léman, à env. 15 m de l'habitation du recourant, au milieu de l'angle ouvert sur le lac et les montagnes. La privation d'ensoleillement est loin d'être excessive au vu de la distance séparant les arbres du logement. S'agissant de la perte de vue, il n'est pas certain qu'un tel désavantage puisse à lui seul constituer un préjudice grave. Quoi qu'il en soit, les deux arbres laissent subsister de part et d'autre un dégagement sur le lac et les montagnes à raison de 40 à 50%; l'intérêt privé du recourant à bénéficer d'une vue plus large, voire complète, ne l'emporte pas sur l'intérêt public à maintenir des arbres sains, qui agrémentent au surplus une promenade publique fréquentée.</w:t>
      </w:r>
    </w:p>
    <w:p>
      <w:pPr>
        <w:pStyle w:val="Heading2"/>
      </w:pPr>
      <w:r>
        <w:t>Erwägungen</w:t>
      </w:r>
    </w:p>
    <w:p>
      <w:r>
        <w:rPr>
          <w:b/>
        </w:rPr>
        <w:t>E. 1</w:t>
      </w:r>
    </w:p>
    <w:p>
      <w:r>
        <w:t>a) L’art. 5 de la loi du 10 décembre 1969 sur la protection de la nature, des monuments et des sites (LPNMS; RSV 450.11) définit les arbres protégés ainsi qu’il suit: Arbres Sont protégés les arbres, cordons boisés, boqueteaux et haies vives: a.   qui sont compris dans un plan de classement cantonal ou qui font l’objet d’une décision de classement au sens de l’article 20 de la présente loi; b.   que désignent les communes par voie de classement ou de règlement communal, et qui doivent être maintenus soit en raison de leur valeur esthétique, soit en raison des fonctions biologiques qu’ils assurent. En application de l’art. 5 LPNMS, la Commune de Morges a édicté un règlement communal sur la protection des arbres, adopté par le Conseil communal le 1 er octobre 1986 et approuvé par le Conseil d’Etat le 5 juin 1987. Selon l’art. 2 de ce règlement, sont protégés les arbres de 16 cm de diamètre et plus, mesurés à 1,30 m du sol, ainsi que les cordons boisés, les boqueteaux et les haies vives. b) Les arbres “protégés” ne peuvent être abattus qu'à certaines conditions. Ainsi, l’art. 6 LPNMS dispose: Abattage des arbres protégés 1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2    L'autorité communale peut exiger des plantations de compensation ou, si les circonstances ne le permettent pas, percevoir une contribution aux frais d'arborisation. Un règlement communal en fixe les modalités et le montant. 3    Le règlement d'application fixe au surplus les conditions dans lesquelles les communes pourront donner l'autorisation d'abattage. L'art. 15 du règlement d'application du 10 décembre 1969 de la LPNMS (RLPNMS; RS 450.11.1) précise: Abattage (loi, art. 6, al. 3) 1 L'abattage ou l'arrachage des arbres, cordons boisés, boqueteaux, ou haies vives classés est autorisé par la municipalité lorsque: 1.   la plantation prive un local d'habitation préexistant de son ensoleillement normal dans une mesure excessive; 2.   la plantation nuit notablement à l'exploitation rationnelle d'un bien-fonds ou d'un domaine agricoles; 3.   le voisin subit un préjudice grave du fait de la plantation; 4.   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Enfin, l'art. 4 du règlement communal renvoie, s'agissant de l'autorisation d'abattage, aux conditions indiquées à l'art. 6 LPNMS et à ses dispositions d'application.</w:t>
      </w:r>
    </w:p>
    <w:p>
      <w:r>
        <w:rPr>
          <w:b/>
        </w:rPr>
        <w:t>E. 2</w:t>
      </w:r>
    </w:p>
    <w:p>
      <w:r>
        <w:t>Pour statuer sur une demande d'autorisation d'abattage, l'autorité communale doit procéder à une pesée complète des intérêts en présence et déterminer si l'intérêt public à la protection de l'arbre classé l'emporte sur les intérêts publics ou privés qui lui sont opposés. Dans le cadre de cette pesée d'intérêts, il convient notamment de tenir compte de l'importance de la fonction esthétique ou biologique des plantations en cause, de leur âge, de leur situation dans l'agglomération et de leur état sanitaire (cf. arrêt TA AC.2000.0138 du 27 mars 2001).</w:t>
      </w:r>
    </w:p>
    <w:p>
      <w:r>
        <w:rPr>
          <w:b/>
        </w:rPr>
        <w:t>E. 3</w:t>
      </w:r>
    </w:p>
    <w:p>
      <w:r>
        <w:t>a) En l'espèce, il n'est pas contesté que les deux hêtres pourpres en cause sont protégés. Leur abattage, voire leur taille ou écimage, est ainsi subordonnée aux conditions de l'art. 15 RPLMNS. Seuls entrent en considération ici les critères des ch. 1 et 3 de l'al. 1 de cette disposition, soit la privation d'un local d'habitation préexistant de son ensoleillement normal dans une mesure excessive ou un préjudice grave subi par le voisin du fait de la plantation. Il n'est pas certain que l'appartement du bâtiment en cause puisse être considéré comme un local d'habitation préexistant, dans la mesure où ce logement résulte d'une surélévation du bâtiment réalisée en 2007 seulement, alors que les arbres sont âgés de quarante à cinquante ans . Cela étant, une éventuelle privation d'ensoleillement résultant de ces sujets litigieux est de toute façon loin d'être excessive au vu de la distance les séparant du logement, à savoir une quinzaine de mètres. On rappellera en outre que lorsque l'ombre est la plus étendue, en hiver, les arbres ont perdu leurs feuilles. Quant au préjudice grave allégué, il se résume à la perte de vue. En soi, il n'est pas certain qu'à lui seul, un tel désavantage puisse constituer un préjudice grave. Quoi qu'il en soit en l'occurrence, la plantation litigieuse laisse subsister de part et d'autre un dégagement sur le lac et les montagnes à raison de 40 à 50%. Dans ces conditions, même s'il est compréhensible que le recourant déplore que les sujets obstruent en son milieu l'ouverture dont il dispose sur le lac et les montagnes, son intérêt privé à bénéficier d'une vue plus large, voire complète, ne saurait l'emporter sur l'intérêt public à maintenir des arbres sains, qui agrémentent au surplus une promenade publique fréquentée. b) Les autres arguments du recourant ne conduisent pas à une autre conclusion. La lettre de la municipalité du 2 mars 2007, selon laquelle un " éventuel écimage est à étudier " une fois les travaux de construction terminés, ne constitue pas une promesse de l'autorité de procéder à un tel écimage. Quant à l'acte de concession de grève N° 175.G.26 du 14 mars 1961, il n'est de toute façon d'aucun secours au recourant, à supposer même qu'il soit encore applicable (cf. arrêt AC.2006.0099 du 14 avril 2008, produit par la municipalité). En effet, le code rural et foncier du 7 décembre 1987 (CRF; RSV 211.41), auquel cet acte renvoie, soustrait les plantations protégées aux actions en enlèvement ou en écimage et précise que celles-ci ne peuvent être enlevées ou écimées qu'aux conditions fixées par la législation sur la protection de la nature, des monuments et des sites (art. 60 CRF); les exceptions que le CRF énumère à cet égard (art. 61 CRF) correspondent en outre aux critères inscrits à l'art. 15 RLPNMS, dont on a déjà vu qu'ils ne sont pas observés en l'espèce.</w:t>
      </w:r>
    </w:p>
    <w:p>
      <w:r>
        <w:rPr>
          <w:b/>
        </w:rPr>
        <w:t>E. 4</w:t>
      </w:r>
    </w:p>
    <w:p>
      <w:r>
        <w:t>Vu ce qui précède, le recours doit être rejeté et la décision de la municipalité confirmée. Succombant, le recourant doit assumer les frais judiciaires, ainsi qu'une indemnité au titre de dépens en faveur de la municipalité.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