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AC.2008.0225 vom 26. Juni 2009</w:t>
      </w:r>
    </w:p>
    <w:p>
      <w:r>
        <w:t>VD Tribunal cantonal, 2009-06-26, FR</w:t>
      </w:r>
    </w:p>
    <w:p>
      <w:r>
        <w:rPr>
          <w:b/>
        </w:rPr>
        <w:t xml:space="preserve">Quelle: </w:t>
      </w:r>
      <w:r>
        <w:t>https://mcp.opencaselaw.ch/entscheid/vd_omni_AC.2008.0225</w:t>
      </w:r>
    </w:p>
    <w:p>
      <w:r>
        <w:t>FR: VD_OMNI AC.2008.0225 du 26 juin 2009</w:t>
      </w:r>
    </w:p>
    <w:p>
      <w:r>
        <w:t>IT: VD_OMNI AC.2008.0225 del 26 giugno 2009</w:t>
      </w:r>
    </w:p>
    <w:p>
      <w:pPr>
        <w:pStyle w:val="Heading2"/>
      </w:pPr>
      <w:r>
        <w:t>Regeste</w:t>
      </w:r>
    </w:p>
    <w:p>
      <w:r>
        <w:t>BLATTI/Municipalité de Montreux, CARNAL, HUMBERT CARNAL | Refus d'accorder un permis de construire une place de parc. Sa construction impliquerait en effet l'agrandissement d'un décrochement et la destruction, sur environ 5 m 50, du mur de soutènement. Même si le muret, en tant que tel, ne présente pas de qualités esthétiques remarquables, il contribue fortement à l'identité du lieu et au cachet de la rue. Sa destruction est donc de nature à porter atteinte à l'homogénéité du quartier et doit par conséquent être refusée au vu de l'intérêt public à la sauvegarde du caractère du Coteau de Belmont, site unique sur la Commune de Montreux, lequel prédomine largement sur l'intérêt du recourant à construire une place de parc. En outre, si une autorisation était octroyée dans le cas présent, elle devrait l'être également s'agissant de demandes futures de permis de construire, ce qui rendrait illusoire la protection accrue voulue par le législateur communal. Recours rejeté.</w:t>
      </w:r>
    </w:p>
    <w:p>
      <w:pPr>
        <w:pStyle w:val="Heading2"/>
      </w:pPr>
      <w:r>
        <w:t>Erwägungen</w:t>
      </w:r>
    </w:p>
    <w:p>
      <w:r>
        <w:rPr>
          <w:b/>
        </w:rPr>
        <w:t>E. 1</w:t>
      </w:r>
    </w:p>
    <w:p>
      <w:r>
        <w:t>a) Le recourant reproche à la municipalité d'avoir refusé la construction d'une place de stationnement, alors même que la Commission d'urbanisme avait accepté le projet dans un courrier du 2 avril 2008. Il précise qu'il avait modifié son projet initial, qui comportait trois places de parc, avec un accès perpendiculaire à la route, pour tenir compte des desiderata de la commune. b) Le courrier du Service de l'urbanisme du 2 avril 2008  indique: "Le propriétaire ayant l'intention de maintenir en l'état le chemin d'accès au bâtiment, lequel constitue d'ailleurs un élément caractéristique du quartier, le service de l'urbanisme entre en matière pour la création d'une place de stationnement. Cette dernière n'excédera toutefois pas les dimensions minimales d'après la norme SN 640 291 a (largeur: 2.20 m – longueur: 5.0 m). Le mur de soutènement, quant à lui, sera réalisé dans des matériaux identiques à l'existant et sa hauteur sera limitée au strict nécessaire. Nous formulons en outre un préavis positif concernant le rehaussement du garage, sous la forme d'un exhaussement de 40 cm de la dalle existante. Pour le surplus, conformément aux dispositions des articles 103 et 109 LATC,  nous vous informons que ces travaux doivent être soumis aux formalités d'enquête publique, dont le résultat et la décision subséquente de la Municipalité demeurent expressément réservés. (…)" Si le service communal d'urbanisme ou de la police des constructions peut être consulté avant la mise à l'enquête d'un projet, notamment pour vérifier que celui-ci est conforme aux exigences légales et réglementaires, la compétence pour délivrer un permis de construire relève exclusivement de la municipalité (art. 17, 104 et 114 al. 1 de la loi du</w:t>
      </w:r>
    </w:p>
    <w:p>
      <w:r>
        <w:rPr>
          <w:b/>
        </w:rPr>
        <w:t>E. 4</w:t>
      </w:r>
    </w:p>
    <w:p>
      <w:r>
        <w:t>a) Le recourant fait valoir que la place de stationnement envisagée respecte l'art. 9.11, car elle est aménagée aux abords immédiats de son garage et qu'elle ne porterait pas atteinte aux caractéristiques des lieux, ni à la scénographie. Par ailleurs, le mur serait dépourvu de tout charme particulier. b) Il a été constaté, lors de l'inspection locale, que la perspective du mur, après le double garage sis sur les parcelles n os 587 et 588, à l'exception de deux décrochements peu visibles depuis cet endroit, est continue jusqu'au bas du coteau. Selon le relevé du Coteau de Belmont du 25 juillet 2008, remis par l'autorité intimée, le mur de soutènement est présent sur toute la partie amont du chemin et comporte en tout cinq décrochements (soit au niveau des parcelles n os 584 [couvert pour six voitures], 585 et 586 [deux places extérieures et un  garage double], 587 et 588 [une place extérieure et deux garages doubles], 587 et 588 [une place extérieure et deux garages doubles], 589 [une place extérieure et un garage double] et, finalement, 590 et 591 [deux places extérieures et deux garages simples]). Il n'est pas contesté que le recourant souhaite aménager la place de parc immédiatement à côté de son garage. Cependant, la construction d'une place de parc à l'endroit prévu impliquerait l'agrandissement du décrochement situé entre les parcelles n os 585 et 586 et la destruction, sur environ 5 m 50 du mur de soutènement actuel (voir les plans soumis à l'enquête publique et les constatations résultant de l'inspection locale). Ce dernier serait reconstruit 50 à 60 cm plus en retrait de la route. c) Même s'il faut concéder au recourant que le muret, en tant que tel, ne présente pas de qualité esthétiques remarquables, il participe fortement à l'identité du lieu et au cachet de la rue. Haut d'environ 50 cm, le mur est entièrement inclus dans le périmètre de protection " zone de coteau B " du Projet RPGA. Présent sur quasiment toute la partie amont du chemin (à l'exception des décrochements précités) et sur chacune des parcelles, il retient les talus qui descendent pratiquement au niveau de la chaussée. Il participe ainsi à la configuration spécifique du terrain (jardins en pente jusqu'à la route), qui constitue un des éléments donnant son caractère particulier au lieu. Il forme également une spécificité du Coteau de Belmont, dans la mesure où il est rare de trouver un tel muret de soutènement bordant le domaine public. Par ailleurs, le tribunal a  retenu, dans l'arrêt AC.2007.0111 précité, que le Coteau de Belmont constituait " une rue typique et unique de Montreux " si bien que, outre les maisons d'habitation, les aménagements extérieurs constituent également des éléments caractéristiques devant être protégés. Au demeurant, selon les recommandations fiche n° 3 relatives à l’art. 9.9 projet RPGA, les murs de soutènement en pierre apparente font partie du paysage montreusien ; leur percement est possible à condition que la solution architecturale s’intègre harmonieusement avec le mur ; la réalisation de nouveaux murs de soutènement peut être en pierre apparente, en maçonnerie ou en béton. La création d'une place de parc en prolongement des garages du recourant ne causerait certes que la destruction d'une petite partie du mur (5 m 50); elle créerait cependant un décrochement supplémentaire. Même si le recourant entend réaliser un mur du même type que celui existant actuellement, il sera nécessairement plus haut et il ne sera plus aligné (retrait de 50 à 60 cm par rapport au muret existant). Par ailleurs, la multiplication des décrochements serait de nature à mettre en péril une caractéristique de la rue, en faisant disparaître petit à petit un de ses éléments typiques, dans un quartier qui fait désormais l'objet d'une protection accrue. La destruction du muret est donc de nature à porter atteinte à l'homogénéité du quartier et doit par conséquent être refusée au vu de l’intérêt public à la sauvegarde du caractère du Coteau de Belmont, site unique sur la Commune de Montreux, lequel prédomine largement sur l'intérêt du recourant à construire une place de parc. En outre, si une autorisation était octroyée dans le cas présent, elle devrait l’être également s’agissant de demandes futures de permis de construire. Or, cela rendrait illusoire la protection accrue que le législateur communal a appelée de ses vœux. Vu ce qui précède, l'autorité intimée n'a pas abusé de son pouvoir d'appréciation en refusant l'autorisation de construire la place de parc projetée.</w:t>
      </w:r>
    </w:p>
    <w:p>
      <w:r>
        <w:rPr>
          <w:b/>
        </w:rPr>
        <w:t>E. 5</w:t>
      </w:r>
    </w:p>
    <w:p>
      <w:r>
        <w:t>a) Le recourant invoque encore l'art. 52 Projet RPGA et les normes VSS: compte tenu de la surface brute de plancher habitable de la villa (soit 234,151 m2, selon le courrier du conseil du recourant du 1 er avril 2004 et 237,586 m2, selon les plans établis par l'architecte, joints au courrier précité), il aurait droit, selon ces dispositions, à trois places de stationnement. b) L'art. 52 Projet RPGA, relatif au stationnement des véhicules et applicable à toutes les zones, prévoit: "Pour les nouvelles constructions, les besoins en stationnement sont calculés selon la norme de l'association suisse des professionnels de la route et des transports (norme SN 640 281). (art. 52.1 al. 1 er ) Les dispositions qui suivent sont également applicables dans le cas de transformation ou de changement d’affectation d’un immeuble existant entraînant une augmentation des besoins en place de stationnement. (art. 52.1 al. 2) Pour les constructions se trouvant dans les centres urbains et noyaux villageois définis par le Plan de structuration urbaine, une place par logement est aménagée, quelle que soit la taille du logement. (art. 52.2 al. 1 er ) Pour les constructions se trouvant hors des centres urbains, il est aménagé une place de stationnement pour chaque fraction de 100 m 2 de surface brute de plancher, mais une place au moins par logement. (art. 52.2 al. 2) (…)" Quant à la norme VSS SN-640 281, lettre C, relative à l'offre en case de stationnement pour les affectations au logement, elle prévoit " une case de stationnement par 100 m 2 de surface brute de plancher ou une case par appartement " (ch. 9.1). Le chiffre 9.4 précise qu'il peut être judicieux de s'écarter des valeurs indicatives afin de tenir compte de conditions locales particulières ou de formes spéciales de logement. c) En l'espèce, si la surface habitable de la villa du recourant pourrait permettre, au vu des dispositions précitées, la création de trois places de parc, des considérations relevant de la nature particulière du lieu où est implantée la maison justifie pleinement la limitation à deux places. Tout d'abord, il s'agit de tenir compte de l'étroitesse du Coteau de Belmont. Si la création de places de parc peut certes, comme l'invoque le recourant, faciliter le croisement des voitures, l'augmentation de la surface de stationnement disponible densifie d'autant le trafic dans le quartier, en permettant à des véhicules supplémentaires de s'y garer. Vu sa configuration, le quartier ne peut pas accueillir un nombre élevé de véhicules et, partant, de places de stationnement. On relèvera encore que c'est uniquement lorsque les places de parc sont libres qu'elles facilitent les croisements. Par ailleurs, le lieu où est situé le Coteau de Belmont (à quelques minutes du centre-ville) ainsi que la desserte en transport public, justifie pleinement de limiter le nombre de véhicules pouvant y circuler. Le fait que les deux enfants du recourant se déplaceront en voiture dans un avenir proche n'est pas pertinent: se déplacer en voiture ne signifie pas nécessairement bénéficier de son propre véhicule et même si cela était le cas, avoir une place de parc privative. Au vu de ce qui précède, le fait de limiter à deux places de parc l'offre en stationnement pour la villa du recourant apparaît justifié.</w:t>
      </w:r>
    </w:p>
    <w:p>
      <w:r>
        <w:rPr>
          <w:b/>
        </w:rPr>
        <w:t>E. 6</w:t>
      </w:r>
    </w:p>
    <w:p>
      <w:r>
        <w:t>a) Le recourant se plaint encore d'arbitraire et d'inégalité de traitement, relevant que la plupart des habitants du quartier dispose d'un garage et de places de stationnement en bordure de la chaussée. Pour l'autorité intimée, il n'y a rien d'arbitraire à appliquer des mesures conservatoires pour des aménagements encore majoritairement présents et pour lesquels le projet RPGA introduit des dispositions spécifiques. b) Selon le relevé d'éléments de l'aménagement extérieur du 21 juillet 2008, le périmètre du Coteau de Belmont comporte 21 villas, pour un total de 35 places de parc (17 couvertes et 18 extérieures). En moyenne, cela revient à 1.7 place par villa (35 places/21villas). Le recourant possède quant à lui deux places dans un garage couvert, si bien qu'il se situe déjà parmi les habitants privilégiés par rapport à la moyenne des places de parc dans le quartier. Par ailleurs, si, par le passé, des places de parc ou des garages ont été autorisés le long du Coteau de Belmont, entraînant la destruction d'une partie du muret, la municipalité a clairement établi, par l'adoption du secteur protégé du Coteau de Belmont, soumis à des règles particulières, sa volonté de désormais protéger ce périmètre. La situation de droit s'étant modifiée, le recourant ne saurait se prévaloir du principe d'égalité de traitement. Ce grief doit par conséquent également être rejeté.</w:t>
      </w:r>
    </w:p>
    <w:p>
      <w:r>
        <w:rPr>
          <w:b/>
        </w:rPr>
        <w:t>E. 7</w:t>
      </w:r>
    </w:p>
    <w:p>
      <w:r>
        <w:t>Vu les considérants qui précèdent, le recours doit être rejeté et la décision attaquée confirmée. Le recourant, qui succombe, doit supporter les frais de justice (art. 49 de la loi vaudoise du 28 octobre 2008 sur la procédure administrative; LPA-VD, RSV 173.36). La Commune de Montreux, qui n'a pas procédé par l'intermédiaire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