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AC.2008.0217 vom 2. Dezember 2008</w:t>
      </w:r>
    </w:p>
    <w:p>
      <w:r>
        <w:t>VD Tribunal cantonal, 2008-12-02, FR</w:t>
      </w:r>
    </w:p>
    <w:p>
      <w:r>
        <w:rPr>
          <w:b/>
        </w:rPr>
        <w:t xml:space="preserve">Quelle: </w:t>
      </w:r>
      <w:r>
        <w:t>https://mcp.opencaselaw.ch/entscheid/vd_omni_AC.2008.0217</w:t>
      </w:r>
    </w:p>
    <w:p>
      <w:r>
        <w:t>FR: VD_OMNI AC.2008.0217 du 2 décembre 2008</w:t>
      </w:r>
    </w:p>
    <w:p>
      <w:r>
        <w:t>IT: VD_OMNI AC.2008.0217 del 2 dicembre 2008</w:t>
      </w:r>
    </w:p>
    <w:p>
      <w:pPr>
        <w:pStyle w:val="Heading2"/>
      </w:pPr>
      <w:r>
        <w:t>Regeste</w:t>
      </w:r>
    </w:p>
    <w:p>
      <w:r>
        <w:t>CHEVALLEY/Service du développement territorial, Municipalité de Lutry, URFER-REBSTEIN | Confirmation de l'ordre de démolition d'une pergola installée sans droit en zone viticole.</w:t>
      </w:r>
    </w:p>
    <w:p>
      <w:pPr>
        <w:pStyle w:val="Heading2"/>
      </w:pPr>
      <w:r>
        <w:t>Erwägungen</w:t>
      </w:r>
    </w:p>
    <w:p>
      <w:r>
        <w:rPr>
          <w:b/>
        </w:rPr>
        <w:t>E. 1</w:t>
      </w:r>
    </w:p>
    <w:p>
      <w:r>
        <w:t>a) La pergola litigieuse est implantée en zone viticole. En droit cantonal vaudois (cf. art. 52 de la loi cantonale du</w:t>
      </w:r>
    </w:p>
    <w:p>
      <w:r>
        <w:rPr>
          <w:b/>
        </w:rPr>
        <w:t>E. 4</w:t>
      </w:r>
    </w:p>
    <w:p>
      <w:r>
        <w:t>décembre 1985 sur l’aménagement du territoire et les constructions ; LATC, RSV 700.11), la zone viticole est une zone agricole. Les zones agricoles font l’objet d’une réglementation spécifique en droit fédéral (art. 16, 16a et 1b de la loi fédérale du 22 juin 1979 sur l’aménagement du territoire ; LAT, RS 700).  La zone agricole est une zone en principe non constructible, sous réserve de deux catégories d’exceptions : pour les projets conformes à l’affectation de la zone agricole (cf. art. 22 al. 2 let. a LAT), d’une part, et pour les projets non conformes à l’affectation mais satisfaisant néanmoins aux conditions strictes posées par les art. 24 ss LAT, d’autre part. b) En l’occurrence, la pergola litigieuse n’est pas conforme à  l’affectation de la zone agricole, car elle n’est pas nécessaire à l’exploitation agricole (art. 16a al. 1, 1 ère phrase, LAT) ; autrement dit, cette installation ne sert pas à l’exploitation tributaire du sol ou au développement interne, selon art. 34 al. 1 de l’Ordonnance du 28 juin 2000 sur l’aménagement du territoire (RS 700.1). Certes, l’art. 34 al. 2 OAT précise qu’à certaines conditions, sont aussi conformes à l’affectation de la zone agricole les constructions servant notamment à la vente de produits agricoles. Même si les conditions étaient réalisées en l’espèce, le recourant ne pourrait pas pour autant obtenir une autorisation de construire sur la base de l’art 22 LAT. Le fait qu’une activité remplisse les conditions énoncées aux art. 16 et 16a LAT ne signifie pas encore qu’une autorisation de construire une nouvelle installation en application de l’art. 22 LAT doive nécessairement être délivrée (ATF 129 II 413 consid. 3). En effet, il convient d’examiner en premier lieu si la nouvelle activité peut être réalisée dans les locaux existants ; si tel n’est pas le cas, il faut en outre vérifier que la nouvelle construction n’est pas surdimensionnée par rapport à l’utilisation envisagée et les besoins de l’exploitation et qu’aucun intérêt prépondérant ne s’oppose à l’implantation du nouveau bâtiment à l’endroit prévu (art. 34 al. 4 OAT ; ATF 125 II 278 consid. 3a). En l’espèce, il va de soi que l’activité commerciale (promotion et dégustation de vin) qui se déroule sous la pergola litigieuse  peut - même doit - être réalisée dans des locaux existants appartenant au vigneron ; le recourant n’établit pas, ni même n’allègue, qu’une telle activité ne pourrait pas être déployée dans un local existant autre que la pergola. Dans les régions traditionnellement vouées à la viticulture, la promotion et vente directe de vin ont lieu dans la cave du viticulteur, où généralement se trouvent les installations destinées au pressurage du raisin, à la vinification, à l’élevage, à la mise en bouteille et/ou au stockage (cf. arrêt AC.2003.0192 où le tribunal a jugé que des places de parc ayant pour fonction exclusive de faciliter l’accès de la cave à la clientèle d’un vigneron-encaveur n’étaient pas conforme à la destination de la zone viticole, car elles répondaient à un objectif purement commercial et n’avaient aucun lien direct et fonctionnel avec la production viticole). c) Par ailleurs, une autorisation exceptionnelle au sens de l’art. 24 LAT n’entre pas en ligne de compte : une telle autorisation est accordée si l'implantation d’installations ou de constructions hors de la zone à bâtir est imposée par leur destination (let. a) et si aucun intérêt prépondérant ne s'y oppose (let. b). Pour qu'une construction soit imposée par sa destination, il faut toujours que des raisons objectives - techniques, économiques ou découlant de la configuration du sol - justifient la réalisation de l'ouvrage projeté à l'emplacement prévu (ATF 124 II 252 consid. 4a). Il n'y a pas lieu de prendre en compte les représentations subjectives ou les considérations de convenance personnelle du constructeur (ATF 123 II 499 consid. 3b/cc p. 508, et les arrêts cités). L'implantation en zone viticole de la pergola litigieuse, destinée à permettre aux clients à déguster les produits issus de l’exploitation viticole, a été dictée par des motifs de pure convenance personnelle du recourant. En tout cas, le recourant ne dit pas quelle raison objective justifierait que la pergola incriminée prenne place en zone agricole. L’installation litigieuse n’est donc pas susceptible d'être autorisée à l'emplacement actuel. Pour le surplus, aucune autorisation exceptionnelle au sens des art. 24a, 24b, 24c ou 24d LAT n’entre en ligne de compte ; à noter du reste que ces dispositions légales ne sont pas applicables aux constructions érigées illégalement en zone agricole. A partir du moment où le recourant ne peut pas obtenir une autorisation dérogatoire sur la base du droit fédéral, il est superflu d’examiner si la pergola s’intègre ou non à l’environnement sous l’angle du droit cantonal. 2. a) La municipalité, et à son défaut le département compétent, est en droit de faire supprimer, aux frais des propriétaires, tous travaux qui ne sont pas conformes aux prescriptions légales et réglementaires (art. 105 al. 1 et 130 al. 2 LATC). b) Selon la jurisprudence, l'ordre de démolir une construction édifiée sans permis et pour laquelle une autorisation ne peut être accordée – comme c’est le cas en l’espèce -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(ATF 123 II 248 consid. 4 p. 254ss; 111 Ib 213 consid. 6 p. 221ss; 108 Ia 216 consid. 4 p. 217). c) L’art. 25 LAT prévoit l’autorisation ou l’approbation d’une autorité cantonale pour tout projet de construction sis hors des zones à bâtir. Les art. 81 et 120 LATC confirment ce principe en précisant que la décision du département compétent ne préjuge pas de celle des autorités communales (art. 81 al. 1 LATC). D’après la jurisprudence, sans autorisation cantonale préalable, un permis de construire délivré par une commune hors de la zone à bâtir ne peut déployer aucun effet. L’autorisation cantonale est un élément constitutif et indispensable de l’application de l’art. 24 LAT. Si cette autorisation ne peut être obtenue après coup, le permis communal doit être considéré comme radicalement nul et dépourvu d'effet, ce qui rend inutile l'examen de la bonne foi du constructeur (ATF 111 Ib 213; JT 1987 I 564; voir aussi ATF 1A.211/1999 du 27 septembre 2000 consid. 4c; arrêt AC.2003.0108 du 21 juin 2006 [résumé in RDAF 2007 p. 165 s.] ; contra AC.2006.0050 du 20 février 2007 en vertu duquel les conditions de la bonne foi doivent donc être examinées dans tous les cas et même lorsque la décision d’autorisation est radicalement nulle). d) En l’occurrence, le recourant ne peut pas se prévaloir de sa bonne foi pour s’opposer à l’ordre de remise en état des lieux. En effet, du moment qu’une autorisation ne peut pas être obtenue après coup, le permis de construire délivré par la Municipalité le 25 mars 2002 doit être considéré comme étant nul et dépourvu d’effet. Le recourant peut d’autant moins invoquer sa bonne foi qu’il a même passé outre le permis de construire communal en couvrant sa pergola ultérieurement. Quant au principe de la proportionnalité, il ne s'oppose pas à l'ordre de remise en l’état des lieux. L'intérêt public lié à la préservation de la destination agricole de la zone, se trouverait compromis par le maintien de la construction litigieuse. Certes, la pergola est de dimensions relativement réduites (encore que la place bétonnée est importante), mais la séparation en zone à bâtir et zones inconstructibles est un principe essentiel d'aménagement qui, en dehors des exceptions prévues par le droit fédéral, doit demeurer d'application stricte. Le démantèlement de l’installation (y compris la suppression du sol en béton sur lequel est fixée la pergola) ne nécessite pas de dépense importante pour le recourant. En tout cas, le recourant ne l’allègue pas. 3. Vu ce qui précède, le recours doit être rejeté et la décision attaquée doit être confirmée, sous réserve de son chiffre I, la décision de la Municipalité du 25 mars (recte : mai) 2005 concernant uniquement la suppression de la couverture illicite de la pergola.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