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AC.2008.0157 vom 3. Dezember 2008</w:t>
      </w:r>
    </w:p>
    <w:p>
      <w:r>
        <w:t>VD Tribunal cantonal, 2008-12-03, FR</w:t>
      </w:r>
    </w:p>
    <w:p>
      <w:r>
        <w:rPr>
          <w:b/>
        </w:rPr>
        <w:t xml:space="preserve">Quelle: </w:t>
      </w:r>
      <w:r>
        <w:t>https://mcp.opencaselaw.ch/entscheid/vd_omni_AC.2008.0157</w:t>
      </w:r>
    </w:p>
    <w:p>
      <w:r>
        <w:t>FR: VD_OMNI AC.2008.0157 du 3 décembre 2008</w:t>
      </w:r>
    </w:p>
    <w:p>
      <w:r>
        <w:t>IT: VD_OMNI AC.2008.0157 del 3 dicembre 2008</w:t>
      </w:r>
    </w:p>
    <w:p>
      <w:pPr>
        <w:pStyle w:val="Heading2"/>
      </w:pPr>
      <w:r>
        <w:t>Regeste</w:t>
      </w:r>
    </w:p>
    <w:p>
      <w:r>
        <w:t>HELLMULLER/Municipalité de St-Légier-La Chiésaz, Service des forêts, de la faune et de la nature, Municipalité de Blonay | Confirmation de l'ordre de supprimer des places de parc aménagées sans autorisation à moins de 10 mètres de la lisière de forêt pour des motifs de convenance personnelle; une éventuelle dérogation n'entre donc pas en ligne de compte. Peu importe que, selon le cadastre, le bien-fonds n'est pas désigné comme forêt mais comme place-jardin, car, seul est déterminant l'état des lieux.</w:t>
      </w:r>
    </w:p>
    <w:p>
      <w:pPr>
        <w:pStyle w:val="Heading2"/>
      </w:pPr>
      <w:r>
        <w:t>Erwägungen</w:t>
      </w:r>
    </w:p>
    <w:p>
      <w:r>
        <w:rPr>
          <w:b/>
        </w:rPr>
        <w:t>E. 1</w:t>
      </w:r>
    </w:p>
    <w:p>
      <w:r>
        <w:t>a) Selon l’art. 2 al. 1 lettre d de loi forestière vaudoise du 19 juin 1996 (LVLFo ; RSV 921.01), sont considérées comme forêts au sens de la législation fédérale les rives et berges boisées des cours d’eau non corrigés. b) En l’espèce, il ressort des photographies (notamment aériennes) versées au dossier que les rives et les berges du ruisseau des Chevalleyres sont entièrement boisées de part et d’autre sur tout le tronçon qui traverse la parcelle n°1'485 ; selon les constatations faites sur place par le SFFN s’y trouvent des frênes, des chênes et plusieurs noisetiers élagués (sans autorisation). C’est donc à juste titre que le SFFN a constaté que la végétation en question était soumise au régime forestier. Peu importe que l’extrait du registre foncier mentionne que la parcelle n° 1485, d’une surface de 265 m ² , est « en nature de place-jardin ». En effet, en vertu de la loi fédérale du 4 octobre 1991 sur les forêts (RS ; 921.0), par forêt on entend toutes les surfaces couvertes d’arbres ou d’arbustes forestiers à même d’exercer des fonctions forestières (notamment protectrice) ; leur origine, leur mode d’exploitation et la mention au registre foncier ne sont pas pertinents (art. 2 al. 1). Ainsi, seul est déterminant pour la constatation de la nature forestière d’un bien-fonds l’état des lieux, les données figurant au registre foncier n’ayant qu’un caractère indicatif en matière de délimitation des lisières et des surfaces forestières. D’ailleurs, le SFFN a indiqué qu’à l’occasion de la révision du plan partiel d’affectation de la Commune de St-Légier-La Chiésaz, la totalité de la parcelle n° 1485 avait été classée en nature de forêt. Quoi qu’il en soit, le recourant ne conteste pas sérieusement que cette végétation située le long du cours d’eau – qui a notamment pour fonction de protéger les terrains contre l’érosion et les glissement – est soumise à la législation forestière.</w:t>
      </w:r>
    </w:p>
    <w:p>
      <w:r>
        <w:rPr>
          <w:b/>
        </w:rPr>
        <w:t>E. 2</w:t>
      </w:r>
    </w:p>
    <w:p>
      <w:r>
        <w:t>Le département ou la commune par délégation peut toutefois autoriser des dérogations lorsque les conditions suivantes sont réunies :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 (accès du public à la forêt et l’évacuation du bois devant être garantis).</w:t>
      </w:r>
    </w:p>
    <w:p>
      <w:r>
        <w:rPr>
          <w:b/>
        </w:rPr>
        <w:t>E. 3</w:t>
      </w:r>
    </w:p>
    <w:p>
      <w:r>
        <w:t>Vu ce qui précède, c’est à juste titre que l’autorité cantonale compétente a estimé qu’une autorisation spéciale pour l’aménagement de l’ouvrage contesté à moins de 10 m de la lisière de la forêt ne pouvait pas être délivrée. a) La municipalité, et à son défaut le département compétent, est en droit de faire supprimer, aux frais des propriétaires, tous travaux qui ne sont pas conformes aux prescriptions légales et réglementaires (art. 105 al. 1 et 130 al. 2 LATC).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2006 p. 260; RDAF 1993 p. 310 consid. 2b et les arrêts cités; ATF 1C_167/2007 du 7 décembre 2007 consid. 6.1). b) Le recourant invoque sa bonne foi pour s’opposer à l'ordre de remise en état des lieux. aa)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Cela signifie en particulier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notamment de mise à l'égard d'un homme de loi qu'à l'endroit d'un simple particulier (cf. ATF 117 Ia 297 consid. 2 p. 299; 111 Ib 213; 101 Ia 92 consid. 3b p. 100). bb) Invoquant sa bonne foi, le recourant prétend qu’il a sollicité et obtenu l’autorisation de créer l’ouvrage incriminé d’un membre du Bureau technique communal au cours d’un entretien téléphonique du 17 octobre 2006. Outre que cette assertion est contestée par la Municipalité et contredite par les pièces du dossier, force est de constater que le recourant ne peut pas se prévaloir d’éventuelles promesses faites par une autorité manifestement incompétente, étant précisé que la décision de la Municipalité (et non l’un de ses services) pour tout projet de construction à moins de 10 m de la lisière de forêt suppose l’approbation d’une autorité cantonale. S ans autorisation cantonale préalable, un permis de construire délivré par une commune en la matière ne peut de toute manière déployer aucun effet et doit être considéré comme nul. Le fait qu’il ait acquis la parcelle n° 1485 en 1993 dans le seul but de disposer des places de parc « existantes » n’est pas déterminant, dans la mesure où cet ouvrage n’a fait l’objet d’aucune autorisation spéciale du SFFN. L’ordre de remise en état litigieux ne saurait ainsi être remis en cause au seul motif que le recourant a apparemment agi de bonne foi en se fondant sur les prétendues assurances fournies par des représentants de la municipalité. L e moyen tiré de la bonne foi doit donc également être écarté. De plus, le recourant n'établit pas que les coûts de remise en état seraient excessifs et donc que la mesure incriminée apparaîtrait comme disproportionnée. c) Le recourant dénonce une violation du principe de l’égalité par rapport  à un propriétaire voisin installé au chemin du Péage qui a pu accéder à sa maison d’habitation par une route enjambant le ruisseau des Chevalleyres. Selon le SFFN, les circonstances étaient différentes : ladite voie d’accès avait été admise par les autorités communale et cantonale compétentes au titre d’équipement,  soit dans le but de desservir une maison située en zone à bâtir et non pour créer des places de parc. De toute façon, le recourant ne peut pas se plaindre d’inégalité lorsque la loi est correctement appliquée à son cas, alors qu’elle l’aurait été faussement dans d’autres cas. Sous réserve d’exceptions non réalisées en l’espèce, il n’y a pas d’égalité dans l’illégalité (cf. ATF 125 II 152 consid. 5).</w:t>
      </w:r>
    </w:p>
    <w:p>
      <w:r>
        <w:rPr>
          <w:b/>
        </w:rPr>
        <w:t>E. 4</w:t>
      </w:r>
    </w:p>
    <w:p>
      <w:r>
        <w:t>Vu ce qui précède, le recours doit être rejeté et la décision attaquée confirmée, sous réserve du délai d’exécution de la remise en état qui doit être reporté. Succombant, le recourant supportera un émolument judiciaire ; il devra également verser une indemnité à titre de dépens à la Municipalité qui a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