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AC.2008.0145 vom 31. August 2009</w:t>
      </w:r>
    </w:p>
    <w:p>
      <w:r>
        <w:t>VD Tribunal cantonal, 2009-08-31, FR</w:t>
      </w:r>
    </w:p>
    <w:p>
      <w:r>
        <w:rPr>
          <w:b/>
        </w:rPr>
        <w:t xml:space="preserve">Quelle: </w:t>
      </w:r>
      <w:r>
        <w:t>https://mcp.opencaselaw.ch/entscheid/vd_omni_AC.2008.0145</w:t>
      </w:r>
    </w:p>
    <w:p>
      <w:r>
        <w:t>FR: VD_OMNI AC.2008.0145 du 31 août 2009</w:t>
      </w:r>
    </w:p>
    <w:p>
      <w:r>
        <w:t>IT: VD_OMNI AC.2008.0145 del 31 agosto 2009</w:t>
      </w:r>
    </w:p>
    <w:p>
      <w:pPr>
        <w:pStyle w:val="Heading2"/>
      </w:pPr>
      <w:r>
        <w:t>Regeste</w:t>
      </w:r>
    </w:p>
    <w:p>
      <w:r>
        <w:t>PPE Flavia, CANDAUX, CHARTON, SIEGRIST, MASSEREY, KÖHLI, HEINMANN, Société Grand-Vue Montreux SA/Municipalité de Montreux, BLANC, BALSIGER | Recours contre un permis de construire un immeuble d'habitation situé à Montreux dans une zone de forte déclivité. En l'espèce, le projet, d'un étage sous la corniche, respecte les proportions induites par le COS applicable. Dans ce cadre, rappel de la définition du COS et examen des possibilités de son transfert, en particulier par le biais d'une mention LATC. Rappel également de la jp du TF relative à la surface bâtie à prendre en compte dans le calcul de l'occupation du sol. A Montreux, un ouvrage souterrain, pourvu qu'il soit enterré à plus de 3/4 de son volume (art. 74 al. 2 RPA et 84 al. 2 LATC) n'est pas un élément de surface bâtie.</w:t>
      </w:r>
    </w:p>
    <w:p>
      <w:pPr>
        <w:pStyle w:val="Heading2"/>
      </w:pPr>
      <w:r>
        <w:t>Erwägungen</w:t>
      </w:r>
    </w:p>
    <w:p>
      <w:r>
        <w:rPr>
          <w:b/>
        </w:rPr>
        <w:t>E. 1</w:t>
      </w:r>
    </w:p>
    <w:p>
      <w:r>
        <w:t>a) La Cour de droit administratif et public du Tribunal cantonal examine d'office et avec un libre pouvoir d'examen la recevabilité des recours qui lui sont soumis (art. 89 de la loi du 28 octobre 2008 sur la procédure administrative [LPA-VD; RSV 173.36 entrée en vigueur le 1 er janvier 2009], par renvoi de l’art. 99 LPA-VD; arrêts du Tribunal administratif [TA, auquel a succédé la CDAP dès le 1 er janvier 2008] AC.1994.0062 du 9 janvier 1996; AC.1993.0092 du 28 octobre 1993 et AC.1992.0345 du 30 septembre 1993). b) Selon l'art. 74 al. 1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dont dépend la qualité pour recourir peut être juridique ou de fait; il ne doit pas nécessairement correspondre à celui protégé par la norme invoquée (cf. au sujet des différences entre la qualité pour recourir prévue par la LPA-VD et l’ancienne LJPA, AC.2008.0237 du 17 juillet 2009). Selon la jurisprudence constante,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(ATF 130 V 196 cons id. 3; 128 V 34 consid. 1a et les arrêts cités); il faut donc que l'admission du recours procure au recourant un avantage, de nature économique, idéale ou matérielle. La qualité pour recourir est ainsi reconnue au voisin lorsque son terrain se trouve à proximité du lieu de construction et s'il subit des inconvénients liés à la réalisation du projet contesté. Tel est le cas du voisin qui devrait tolérer une habitation nouvelle à proximité immédiate de sa propre maison (ATF 104 Ib 245 consid. 7d;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(arrêt TA AC.1998.0005 du 30 avril 1999). c) En l'espèce, la qualité pour recourir de PPE Flavia ainsi que de Grand-Vue SA ne fait aucun doute, dans la mesure où tant la PPE (laquelle a au demeurant respecté les conditions spécifiques que les PPE doivent remplir pour ester en justice ; au sujet de la qualité pour recourir des PPE, cf. arrêts CDAP AC.2008.0279 du 11 mai 2009 et AC.2008.0237 du 17 juillet 2009) que la société anonyme, sont propriétaires de parcelles sises à proximité immédiate de la parcelle n° 8443. Elles ont par ailleurs pris part à la procédure antérieure. Les copropriétaires de PPE Flavia ont également recouru en leur nom propre, malgré le fait qu’ils n’aient pas pris part à la procédure d’opposition préalable. L’art. 75 al. 1 LPA-VD subordonne désormais la qualité pour agir à la participation à la procédure devant l’autorité précédente (condition dite du «formelle Beschwer»), soit en l’occurrence, la procédure d’opposition. Cette exigence n’est toutefois pas applicable à un recours déposé, comme en l’espèce, avant le 1 er janvier 2009, soit sous l’empire de la LJPA qui n’imposait pas cette condition. Le recours des copropriétaires est donc recevable.</w:t>
      </w:r>
    </w:p>
    <w:p>
      <w:r>
        <w:rPr>
          <w:b/>
        </w:rPr>
        <w:t>E. 2</w:t>
      </w:r>
    </w:p>
    <w:p>
      <w:r>
        <w:t>Les recourants concluent à l’annulation de la décision municipale et des autorisations cantonales spéciales. Leurs griefs portent principalement sur le permis de construire délivré par la municipalité, de sorte qu’il n’y a pas à examiner le contenu de ces décisions. Il sera seulement précisé que le voyer a préconisé des mesures de sécurité et que l’autorité intimée a indiqué dans sa réponse au recours que le rapport technique établi le 29 janvier 2008 par le bureau « Team + » à Bulle fait partie intégrante du permis de construire, à titre de charge. Il s’agit de la pose d’un miroir double (visibilité vers l’amont et vers l’aval) implanté en face de l’accès, de l’autre côté de la chaussée.</w:t>
      </w:r>
    </w:p>
    <w:p>
      <w:r>
        <w:rPr>
          <w:b/>
        </w:rPr>
        <w:t>E. 3</w:t>
      </w:r>
    </w:p>
    <w:p>
      <w:r>
        <w:t>Sont considérées comme souterraines les dépendances et autres constructions dont les ¾ au moins du volume sont situés en dessous du niveau du terrain naturel, dont une face au plus est visible une fois le terrain aménagé, et dont la toiture est en principe recouverte d’une couche de terre végétale engazonnée ou aménagée en verdure. La Municipalité peut toutefois autoriser l’aménagement d’emplacements de stationnement sur la toiture des dépendances et autres constructions souterraines si la création et le maintien de surfaces de verdure suffisantes sont par ailleurs garantis. Selon la jurisprudence récente du Tribunal fédéral (1C_103/2008 du 23 septembre 2008, ad AC. 2006.0247 du 31 janvier 2008), pour calculer la surface d’occupation d’une construction au sol, la lecture stricte de l’art. 74 al. 1 RPA, c’est-à-dire le fait de considérer comme surface bâtie le niveau de la construction présentant les plus grandes dimensions en plan, ne s’impose pas, en particulier lorsque l’on a affaire à un terrain en pente, ou qui se distingue avec une configuration particulière. Il importe en réalité de considérer la surface de terrain bâtie comme étant la projection horizontale au sol de l’ensemble des parties fermées d’une construction qui en augmentent l’emprise au sol (cf. considérant 2.5 de l’arrêt précité). L’art. 40 RPGA consacre d’ailleurs une définition de la surface bâtie sensiblement identique à celle proposée par le Tribunal fédéral. Selon les constructeurs, la projection au sol de l’immeuble mesure 323 m 2 . Ils ont pris en compte les surfaces des rez supérieurs des deux ailes du bâtiment, ainsi que la cage d’escalier et d’ascenseur, partie de l’immeuble faisant la jonction entre ces deux corps de bâtiments. Ils n’ont pas tenu compte de la surface de l’ouvrage souterrain, en particulier celle de sa toiture, sur laquelle ont été aménagés un parvis et des terrasses en dallage. Les escaliers d’accès au parvis depuis la route de Colondalles n’ont pas non plus été pris en considération. Les recourants contestent cette appréciation. S’agissant tout d’abord de l’ « immense socle en béton » auquel font référence les recourants, c’est à juste titre qu’il n’en a été tenu nul compte. En effet, il répond à toutes les exigences d’ouvrages souterrains au sens de l’art. 74 al. 2 RPA (et de l’art. 44 RPGA), dont il ressort que ces ouvrages ne sont pas comptabilisés dans le calcul de l’occupation du sol. En particulier, comme l’exigent ces dispositions, il ne fait pas de doute qu’il est enterré à plus de ¾ de son volume, ce qui est confirmé par les différents plans présentant le projet sous plusieurs coupes. Les recourants objectent que le fait que le parking est souterrain ne dispense pas son ouvrage d’accès de l’être également. Or, l’ouvrage d’accès constitue un seul et même ouvrage avec le garage de sorte qu’il ne peut être qualifié que de souterrain au sens du RPA. Les remarques des recourants selon lesquelles un tel raisonnement pourrait conduire à ne pas comptabiliser dans le calcul de l’occupation du sol de grands chemins d’accès au parking déterrés, sont erronées car, dans une telle hypothèse, l’ouvrage souterrain risquerait précisément de ne plus être enterré à ¾ de son volume. Il est vrai que des situations d’abus ne sont pas exclues. C’est pourquoi l’art. 84 al. 2 LATC prévoit que le règlement communal pourra ne pas tenir compte des constructions souterraines dans le calcul d’occupation uniquement si « le profil et la nature du sol ne sont pas sensiblement modifiés et s'il n'en résulte pas d'inconvénient pour le voisinage ». En l’espèce, on relève que les dimensions de l’ouvrage souterrain ne sont pas surfaites si bien que la partie déterrée n’est pas en soi si imposante qu’elle constitue un inconvénient pour le voisinage. En outre, s’agissant du profil et de la nature du sol, force est d’admettre que, dans un terrain d’une telle déclivité, les terrassements qui y sont prévus apparaissent usuels et nécessaires, et ne constituent pas des signes de leur modification sensible (cf. arrêt CDAP AC.2008.0283). Fort de ce qui précède, il n’y a pas lieu de déroger à l’énoncé réglementaire selon lequel les ouvrages souterrains ne sont pas pris en compte dans le calcul de la surface bâtie.  Autre est la question de l’implantation de cet ouvrage par rapport aux surfaces voisines comme il sera exposé ci-dessous. Le recourant fait également valoir que dans le cas d’espèce, en contradiction avec l’art. 74 al. 3 RPA, l’ouvrage souterrain comprend davantage qu’une face qui ressort de terre puisque à l’ouest, l’ouvrage comprend un mur latéral. Ce grief n’est pas non plus pertinent dans la mesure où un ouvrage souterrain, pour autant qu’il soit déterré, d’un quart au plus, aura nécessairement, dans un terrain en pente, par endroit, un côté visible supplémentaire. S’agissant des aménagements sur la toiture de la construction souterraine, il est vrai qu’en principe, ils devraient être constitués de verdure selon le règlement (art. 74 al. 3 RPA). En l’occurrence, il ressort des différents plans que le parvis ainsi que les terrasses sont traitées de manière minérale. Le règlement n’est toutefois pas péremptoire sur ce point et laisse une marge de manœuvre à la municipalité que la Cour de céans n’est pas habilitée à restreindre. On rappelle en effet qu'il appartient d'abord à la municipalité d'interpréter son règlement communal et qu’elle jouit pour ce faire d'une certaine liberté d'appréciation. Le tribunal ne sanctionnera la lecture faite par l'autorité intimée que dans la mesure où celle-ci ne serait pas soutenable (cf. par exemple arrêt TA AC.2005.0282 du 26 octobre 2006 consid. 1). Dans cette mesure, le traitement minéral est admissible. Il convient encore que les terrasses ne présentent pas, par leur volume par exemple, un impact visuel particulier (arrêt TA AC.2000.0135 du 3 mai 2001 cité par les recourants). Contrairement à ce que prétendent les recourants (cf. écriture du 10 novembre 2008, p. 3), les terrasses ne ressortent pas artificiellement du terrain naturel puisque celle-ci sont aménagées ou bien sur la toiture de l’ouvrage souterrain, ou bien sur le terrain naturel, lesquels ne sont pas pris en compte dans le calcul du COS. Elles ne présentent donc pas d’aspect de volume construit. Les terrasses non couvertes sont d’ailleurs recensées à l’art. 74 al. 1 RPA selon lequel celles-ci n’entrent pas dans le calcul d’occupation du sol. Les recourants semblent penser que ces terrasses sont en saillie (cf. écriture du 10 novembre 2008, p. 4), et qu’elles devraient, dans cette mesure, être prises en compte dans le calcul de l’occupation du sol (cf. à ce sujet, AC.2003.0079 du 29 septembre 2004, consid. 8d, dont il ressort que les terrasses non couvertes, qui ne sont pas prises en considération pour le calcul du COS au sens de l’art. 74 al. 1 RPA, sont les terrasses en terre-plein, à l’exclusion des terrasses en saillie qui doivent être considérées comme des balcons). Il n’en est cependant rien puisque les terrasses sont précisément en terre plein et non en saillie, celles-ci ne dépassant jamais le sol sur lequel elles sont aménagées. S’agissant enfin des escaliers qui amènent de la route de Colondalles au parvis, il est vrai que, dans un arrêt cité par les recourants, un escalier avait été pris en compte dans le calcul du COS (arrêt TA AC.2006.0135 du 1 er décembre 2006). En l’occurrence la situation n’était pas identique puisque l’escalier mentionné dans cet arrêt faisait partie de l’habitation, malgré le fait qu’il était construit à l’extérieur. A l’inverse, dans la présente espèce, l’escalier ne fait pas partie en tant que tel de l’habitation et ne permet pas l’accès comme dans le cas cité par les recourants au logement supérieur. Il constitue en l’occurrence le chemin menant à l’immeuble d’habitation et en épouse le dénivelé. Il correspond à ce que serait un chemin d’accès vers un immeuble dans un terrain sans pente. Simple aménagement extérieur, il ne doit pas être considéré comme un élément de surface bâtie. Dans cette mesure, la Cour fait sienne l’appréciation selon laquelle l’immeuble d’habitation a une emprise au sol de 323 m 2 . d) Il convient enfin de déterminer la surface de la parcelle à prendre en compte pour le calcul du COS. Selon les constructeurs, la surface totale fictive à prendre en considération se monte à 1938 m 2 . Elle comprend, outre la surface de la parcelle n° 8443 (1133 m 2 ), la surface de la mention LATC grevant la parcelle n° 12592, qui se monte à 805 m 2 . Cette surface supplémentaire est nécessaire (et suffisante) pour que l’occupation du sol du projet de construction Balsiger soit réglementaire (323 m 2 x 6 = 1938 m 2 ). Les recourants contestent la légalité de cette mention. Selon la jurisprudence, un tiers a, en principe, qualité pour contester une modification de limites assortie d’une restriction du droit de bâtir mentionnée au registre foncier au sens de l’art. 83 LATC, dans le cadre d’une procédure relative à l’octroi d’un permis de construire sur la parcelle issue d’un déplacement de limites prétendument entaché d’irrégularités (cf. Raymond Didisheim, les modifications de limites et dérogations en droit vaudois de la construction : quelques réflexions à propos des articles 83 et 85 LATC, in RDAF 1991, p. 413, note 37, ci-après Didisheim, ainsi que RDAF 1991, p. 104). Dans le cas d’espèce, la restriction du droit de bâtir de 805 m 2 faisant l’objet de la mention est bel et bien attaquée dans le cadre de la procédure de permis de construire sur une des deux parcelles issues du fractionnement de l’ancienne parcelle n° 8443. Les recourants ont donc qualité pour contester la décision de la municipalité autorisant la restriction du droit de bâtir et la réquisition de mention du 3 mars 2008 y relative. Selon l’auteur précité cependant, une telle décision ne peut être attaquée que sous l’angle du réexamen (Didisheim, p. 413). Il est inutile de trancher ici ce point puisque, même avec une cognition pleine et entière, la décision de la municipalité en tant qu’elle admet la restriction de bâtir et requiert l’inscription d’une mention, doit être confirmée. A teneur de l’art. 83 LATC,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(arrêt CDAP AC 2007.0002 du 15 mai 2008, et RDAF 2006, 199, 227). Au sujet de cette disposition, le Tribunal administratif a précisé, s’agissant du calcul de l’occupation du sol, que si une surface prise en compte pour calculer la densité d’occupation d’une parcelle est mise à disposition, après construction, pour compléter l’une ou l’autre des parcelles voisines, une surface correspondante de la parcelle donneuse doit être "neutralisée" pour en déterminer la densité d’occupation ou d'utilisation du sol. Il s’agit en quelque sorte d’une règle de péréquation, le but étant que, pour l’ensemble des parcelles considérées, les possibilités de construire n’excèdent pas les normes de densité prévues (arrêt du TA AC.2007.0002 du 15 mai 2008; Bovay/Sulliger, Aménagement du territoire, droit public des constructions et permis de construire, Jurisprudence rendue en 2005 par le Tribunal administratif du canton de Vaud, RDAF 2006 I 199, spéc. p. 226). L’art. 83 LATC renvoie donc à la problématique plus générale du « transfert de coefficient », qui est également possible, sous certaines conditions, en l’absence de modification de limite préalable, moyennant la constitution d’une servitude de non-bâtir au profit de la collectivité (arrêt du TA AC.2007.0002 précité consid. 3b, Denis Piotet, p. 40, ATF 101 Ia 289; 109 Ia 188). Lorsque le transfert de coefficient a lieu dans la même zone, le transfert de coefficient n’est pas soumis à un régime de dérogation, et est possible, même sans base légale autorisant des dérogations. Les communes peuvent donc librement légiférer sur la question (Denis Piotet, p. 40). La commune de Montreux l’a fait en son art. 64 al. 2 RPA, lequel prévoit que « moyennant entente entre voisins dans une même zone, la proportion de la surface bâtie peut être modérément augmentée sur l’une des parcelles, à condition qu’elle soit respectée sur l’ensemble des parcelles concernées ». En l’espèce, si l’on s’écarte certes de l’hypothèse prévue explicitement par l’art 83 LATC qui parle de mention uniquement pour rétablir une situation d’une construction initialement réglementaire et devenue illicite suite à un fractionnement, rien ne s’oppose toutefois d’appliquer cet article, par analogie, dans le cadre de fractionnement de parcelles encore vierges de constructions, mais sur l’une desquelles un projet de construction mis à l’enquête, réglementaire avant le fractionnement, est devenu illicite suite à celui-ci. L’art. 83 LATC étant applicable, le droit communal ne joue plus aucun rôle (Didisheim, p. 406). En particulier, l’entente entre voisins au sens de l’’art. 64 al. 2 RPA, à laquelle fait référence le recourant, a donc trait au « transfert de coefficient » au sein d’une même zone, sans modification de limite préalable. Celui-ci est soumis à des conditions plus strictes que la restriction du droit de bâtir au sens de l’art 83 LATC : le transfert de coefficient au sens de l’art. 64 RPA doit en particulier rester modéré. Il ne s’applique pourtant pas dans la présente espèce, comme on l’a vu, si bien qu’il n’y a pas lieu d’examiner si cette condition est remplie ou non. La restriction du droit de bâtir qui a été mentionnée sur le registre foncier, suite au fractionnement, apparaît conforme à la loi. En particulier, à l’époque où la mention a été constituée (soit en mars 2008), la restriction du droit de bâtir une surface de 805 m 2 sur la parcelle n° 12592 au profit de la parcelle n° 8443, apparaissait tout à fait possible, puisque il n’existait aucune construction ou projet de construction sur la parcelle n° 12592 qui aurait pu limiter le transfert de coefficient, et que par ailleurs, les possibilités de construction sur la parcelle n°12592 étaient encore non négligeables, si bien qu’une restriction du droit de bâtir n’apparaissait pas abusive (ibidem). Selon le recourant cependant, le projet de construction Katsaitis, déposé après la constitution de la mention LATC, occupe une surface trop importante par rapport à la surface de la parcelle où il est construit, grevée de la mention LATC. La question est de savoir si cette mention, initialement conforme à la loi, peut être annulée, ou réduite, a posteriori, en invoquant le fait que, par le principe des vases communicants, la surface de la parcelle n° 12592 grevée de la mention LATC, ne permettrait plus le transfert fictif d’une surface 805 m 2 pour la calcul de l’occupation du sol. En effet, dans une telle hypothèse, la surface faisant l’objet de la mention serait en quelque sorte utilisée deux fois, ce qui va à l’encontre des règles sur l’occupation du sol. Cette objection ne peut être retenue. En effet, la construction Katsaitis, par son entrée en force, a fait l’objet d’une mise à l’enquête. Dans ce cadre, l’occupation du sol de ce projet a été contrôlée, en particulier en rapport avec la  LATC de 805 m 2 grevant le fonds. Un permis de construire, aujourd’hui entré en force, a été délivré. Il n’y a donc pas lieu à ce stade de remettre en cause ni le calcul de l’occupation du sol qu’occuperait la construction en cours sur la parcelle des époux Katsaitis, ni la mention de 805 m 2 grevant cette dernière, pas plus que la servitude de droit public ayant entraîné un transfert de coefficient supplémentaire relatif à une surface de 200 m 2 . Cette problématique ayant fait l’objet d’une décision entrée en force ne constitue pas l’objet du litige. Certes, le recourant fait valoir que certains éléments de la construction Katsaitis n’ont pas été mis à l’enquête publique. Il n’appartient toutefois pas à l’autorité de céans d’entrer en matière sur une problématique concernant un permis entré en force qui n’est manifestement pas l’objet du présent litige. Au demeurant, même si l’on admettait de calculer à nouveau l’occupation du sol de l’immeuble en construction des époux Katsaitis et qu’on arrivait à l’hypothèse de son irrégularité, cela n’aurait pas pour conséquence que la restriction du droit de bâtir grevant la parcelle n° 12592 au profit de la parcelle n° 8443 doit diminuer d’autant. En effet, le fait d’estimer qu’une surface à prendre en compte pour le calcul de l’occupation du sol puisse augmenter ou diminuer, ou en d’autres termes, qu’un transfert de coefficient puisse évoluer, selon le cours des constructions (par hypothèse illégales) sur les parcelles avoisinantes, représenterait une grave atteinte à la sécurité du droit. Dans ce sens, le transfert de coefficient, pour autant qu’il fut licite lors de sa constitution, est irrévocable. En d’autres termes, pour des motifs de sécurité du droit, les limites de référence pour le calcul de l’occupation du sol, fictives ou non, ne peuvent pas être modifiées au gré de constructions illégales de projets sur les parcelles concernées. e) En résumé, la mention de 805 m 2 est valable si bien que la surface totale à prendre en compte pour le calcul de l’occupation du sol se monte à 1938 m 2 . Cette surface , est suffisamment grande pour que le projet de construction Balsiger, d’une surface de 323 m 2 , respecte la proportion d’1/6 prévue par l’art. 40 RPA (1/6 X 1938 m 2 = 323 m 2 ). 6.                Aux termes de l’art. 84 LATC, le règlement communal peut prévoir que les constructions souterraines ou semi enterrées ne sont pas prise en considération dans le calcul de la distance aux limites ou entre bâtiments, d’une part, ou dans le coefficient d’utilisation ou d’occupation du sol (al. 1); cette réglementation n’est applicable que dans la mesure où le profil et la nature du sol ne sont pas sensiblement modifiés et s’il n’en résulte pas d’inconvénient pour le voisinage (al. 2). Le RPA prévoit, à son art. 34, que la distance entre un bâtiment et les limites de parcelles voisines est de 7 mètres au minimum. L’art. 65 bis RPA précise que dans la mesure où le profil et la nature du sol ne sont pas sensiblement modifiées, et s’il n’en résulte pas d’inconvénient majeur pour le voisinage, les constructions  souterraines ne sont pas prises en compte dans le calcul de la distance aux limites ou entre bâtiments ; leur implantation est autorisée en limite de parcelle, sous réserve des législations forestière et routière. L’al. 2 de cette disposition précise que l’art. 74 al. 3 est applicable. Ce dernier indique notamment, comme il a déjà été exposé ci-dessus, que sont considérées comme souterraines les dépendances et autres constructions dont les ¾ au moins du volume sont situés en dessous du niveau du terrain naturel, dont une face au plus est visible une fois le terrain aménagé, et dont la toiture est en principe recouverte d’une couche de terre végétale engazonnée ou aménagée en verdure. En l’espèce, comme déjà dit, le niveau du parking doit être considéré comme une construction souterraine dont il n’est pas tenu compte dans le calcul du COS. Autre est cependant la question de son implantation dans la parcelle, car l’exclusion dans le cadre du calcul du COS n’implique pas automatiquement l’implantation possible à la limite de la propriété voisine. Les façades est et ouest de la construction projetée sont chacune situées à 7 mètres ou plus des limites des propriétés voisines.  L’ouvrage souterrain, quant à lui, est implanté à la limite de la parcelle 8440. Sa dalle supérieure constitue une planie qui forme la terrasse en partie engazonnée de l’appartement du rez inférieur. Celle-ci s’étend ainsi jusqu’à la limite de propriété et crée une vue droite sur la parcelle 8440. Compte tenu de la déclivité importante de la parcelle, le mur qui sera édifié le long de la parcelle 8440 et sur la limite de construction pour soutenir la terrasse et marquer l’entrée du parking, sera visible sur une hauteur d’un peu plus de trois mètres au bord de la route des Colondalles, pour atteindre, après 5 mètres au nord, encore une hauteur d’1 mètre. Sur cette planie doit encore être édifié le parapet de la terrasse d’1 mètre 20. Ainsi, l’ouvrage souterrain, dans sa partie la plus déterrée, est implanté sur la distance aux limites. Certes le terrain est  en forte pente et il est usuel dans le quartier de procéder à des remblais.  Mais il n’en demeure pas moins que l’impact visuel est très important depuis la parcelle 8440 en particulier et le chemin des Colondalles, et qu’on ne saurait ainsi considérer qu’il n’en résulte pas d’inconvénient pour le voisinage. (AC.2008.0283 du 15 avril 2009 ; AC.2006.0316 du 14 novembre 2007). Il est en outre douteux que l’édification de ce mur à cet endroit ne modifie pas le profil du terrain d’une manière sensible. Le recours doit être admis sur ce point. Selon l’art. 9 LRou, il peut être établi, pour des routes ou fractions de routes existantes ou à créer, des plans d’affectation fixant la limite des constructions. Ces plans peuvent comporter un gabarit d’espace libre, ainsi qu’une limite secondaire pour les constructions souterraines et les dépendances de peu d’importance. Traitant des constructions souterraines et des dépendances de peu d’importance, l’art. 37 LRou dispose ce qui suit : « A défaut de plan fixant la limite des constructions souterraines, l’autorité compétente peut autoriser celles-ci ainsi que les dépendances de peu d’importance à une distance de 3 mètres au moins du bord de la chaussée». Des travaux préparatoires, il ressort que cette disposition ne signifie pas que l’autorisation de constructions souterraines ou de dépendances est exclue lorsqu’il existe un plan fixant la limite des constructions souterraines, mais plutôt que la distance de 3 mètres peut encore être réduite au moyen d’un tel plan (BGC, automne 1991, p. 787). Une réduction peut également avoir lieu au moyen d’un plan spécial autorisant les dépendances (Tribunal administratif, arrêt AC.2001.0099 du 18 avril 2002). En l’occurrence, un alignement de constructions datant du plan d’affectation du 31 janvier 1933 figure sur les données cadastrales de la parcelle 8443, parallèle à la route de Colondalles et situé à 3 mètres de cette dernière. Les plans ne prévoient pas de limites secondaires pour les dépendances ou les constructions souterraines au sens de l’art. 37 LRou si bien que celles-ci ne doivent pas empiéter la ligne de constructions. Le projet doit donc s’insérer dans la parcelle sans jamais violer dite limite. Une partie de la dalle de couverture de l’accès au parking et du mur longeant la parcelle 8440 empiétaient sur cette limite dans les premiers plans fournis, mais ce point a été corrigé (cf. plans du 31 août 2007  façade ouest et sous sol parking).  Seul l’escalier longeant le bâtiment coupe la limite sur 1 m 50 au maximum. Il s’agit d’un aménagement extérieur qui doit être assimilé à une dépendance de peu d’importance (cf. art. 73 et 96 RPA) et qui peut être autorisé pour autant que les exigences de sécurité sont respectées (cf. AC.2001.0099 du 18 avril 2002). Tel est manifestement le cas en l’espèce. 7.                En définitive, le recours doit être admis et la décision entreprise annulée. Les recourants, qui obtiennent gain de cause ont droit à des dépens, à la charge des constructeurs qui s’acquitteront en outre des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