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AC.2008.0133 vom 30. September 2008</w:t>
      </w:r>
    </w:p>
    <w:p>
      <w:r>
        <w:t>VD Tribunal cantonal, 2008-09-30, FR</w:t>
      </w:r>
    </w:p>
    <w:p>
      <w:r>
        <w:rPr>
          <w:b/>
        </w:rPr>
        <w:t xml:space="preserve">Quelle: </w:t>
      </w:r>
      <w:r>
        <w:t>https://mcp.opencaselaw.ch/entscheid/vd_omni_AC.2008.0133</w:t>
      </w:r>
    </w:p>
    <w:p>
      <w:r>
        <w:t>FR: VD_OMNI AC.2008.0133 du 30 septembre 2008</w:t>
      </w:r>
    </w:p>
    <w:p>
      <w:r>
        <w:t>IT: VD_OMNI AC.2008.0133 del 30 settembre 2008</w:t>
      </w:r>
    </w:p>
    <w:p>
      <w:pPr>
        <w:pStyle w:val="Heading2"/>
      </w:pPr>
      <w:r>
        <w:t>Regeste</w:t>
      </w:r>
    </w:p>
    <w:p>
      <w:r>
        <w:t>STEINER JACOT, JACOT/Municipalité de Pully, Immeubles &amp; Placements SA | Le règlement communal de Pully exclut les garages souterrains du calcul de la surface bâtie et de celui de la distance aux limites (moyennant le respect de certains critères expressément énumérés par ce règlement), indépendamment de leur surface, de leur lieu d'implantation ou de leur connexité avec le bâtiment qu'ils desservent. L'absence, en l'état, d'une servitude de conduite en faveur de la parcelle voisine ne permet pas d'annuler le permis de construire: l'art. 104 al. 3 LATC vise le cas où un équipement - destiné au constructeur - est aménagé sur la propriété d'un tiers, et non pas l'hypothèse inverse où le tiers entend bénéficier d'un équipement à installer sur la propriété du constructeur.</w:t>
      </w:r>
    </w:p>
    <w:p>
      <w:pPr>
        <w:pStyle w:val="Heading2"/>
      </w:pPr>
      <w:r>
        <w:t>Erwägungen</w:t>
      </w:r>
    </w:p>
    <w:p>
      <w:r>
        <w:rPr>
          <w:b/>
        </w:rPr>
        <w:t>E. 1</w:t>
      </w:r>
    </w:p>
    <w:p>
      <w:r>
        <w:t>Il sied d¿examiner en premier lieu la réglementarité du garage prévu. a) L'art. 84 de la loi vaudoise du</w:t>
      </w:r>
    </w:p>
    <w:p>
      <w:r>
        <w:rPr>
          <w:b/>
        </w:rPr>
        <w:t>E. 4</w:t>
      </w:r>
    </w:p>
    <w:p>
      <w:r>
        <w:t>Enfin, il convient d'examiner le moyen des recourants lié aux servitudes à inscrire au registre foncier relatives aux équipements de leur propre bien-fonds. a) Aux termes de l'art. 104 al. 3 LATC, la municipalité n'accorde le permis de construire que lorsque le bien-fonds est équipé pour la construction ou qu'il le sera à l'achèvement de la construction et que les équipements empruntant la propriété d'autrui sont au bénéfice d'un titre juridique. b) Les recourants considèrent que la délivrance du permis de construire doit être conditionnée à l'inscription au registre foncier des différentes servitudes à la garantie du passage et à l'entretien devant relier leur propriété aux collecteurs publics, en ce qui concerne les eaux claires et usées. Ils se prévalent du fait que l'autorité intimée s'était en 2001 engagée à régulariser la situation (v. pièce n° 5 du bordereau du 22 mai 2008), ce qu'elle n'a pas fait dans l'intervalle. Ils estiment insuffisante la garantie par l'engagement écrit résultant de la décision attaquée de mettre leur parcelle " au bénéfice d'un titre juridique lui permettant d'emprunter la parcelle n° 1981 ". Cette critique serait d'autant plus justifiée que les raccordements en question doivent être effectués avant l'édification du bâtiment projeté sur la parcelle n° 1981. c) D'après son texte clair, l'art. 104 al. 3 LATC vise le cas où un équipement - destiné au constructeur - est aménagé sur la propriété d'un tiers, et non pas l'hypothèse inverse où le tiers entend bénéficier d'un équipement à installer sur la propriété du constructeur. Le cas d'espèce relève de la seconde configuration: la constructrice va dévier des canalisations existantes sises sur sa parcelle, auxquelles l'habitation des recourants est déjà raccordée. Le fait que les recourants n'aient, pour l'heure, pas de titre juridique leur permettant de bénéficier des canalisations traversant la parcelle des constructeurs, n'affecte en rien le projet, lequel dispose - lui - des équipements nécessaires, sans devoir les réaliser sur le bien-fonds d'un tiers, en particulier des recourants. Il n'appartient pas au présent tribunal de régler la question des servitudes correspondantes, requises par les recourants. En conclusion, la décision de l'autorité intimée, autorisant le projet de la constructrice, est confirmée.</w:t>
      </w:r>
    </w:p>
    <w:p>
      <w:r>
        <w:rPr>
          <w:b/>
        </w:rPr>
        <w:t>E. 5</w:t>
      </w:r>
    </w:p>
    <w:p>
      <w:r>
        <w:t>Les considérants qui précèdent conduisent au rejet du recours aux frais des recourants qui succombent (art. 55 al. 1 LJPA). L'autorité intimée et la constructrice ayant procédé par l'intermédiaire d'un avocat, ils ont droit à une indemnité à titre de dépens,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