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AC.2007.0317 vom 6. August 2009</w:t>
      </w:r>
    </w:p>
    <w:p>
      <w:r>
        <w:t>VD Tribunal cantonal, 2009-08-06, FR</w:t>
      </w:r>
    </w:p>
    <w:p>
      <w:r>
        <w:rPr>
          <w:b/>
        </w:rPr>
        <w:t xml:space="preserve">Quelle: </w:t>
      </w:r>
      <w:r>
        <w:t>https://mcp.opencaselaw.ch/entscheid/vd_omni_AC.2007.0317</w:t>
      </w:r>
    </w:p>
    <w:p>
      <w:r>
        <w:t>FR: VD_OMNI AC.2007.0317 du 6 août 2009</w:t>
      </w:r>
    </w:p>
    <w:p>
      <w:r>
        <w:t>IT: VD_OMNI AC.2007.0317 del 6 agosto 2009</w:t>
      </w:r>
    </w:p>
    <w:p>
      <w:pPr>
        <w:pStyle w:val="Heading2"/>
      </w:pPr>
      <w:r>
        <w:t>Regeste</w:t>
      </w:r>
    </w:p>
    <w:p>
      <w:r>
        <w:t>COLLANGE GISIN c/ Municipalité de Riex, PONNAZ, PARISOD, Service du développement territorial | Confirmation d'une décision communale refusant d'ordonner la démolition d'un bâtiment hors de la zone à bâtir. Il appartient à l'autorité cantonale, seule compétente pour autoriser d'éventuels travaux sur le bâtiment, d'intervenir en vertu de l'art. 92 al. 4 LATC, l'attitude ambigüe de la municipalité (qui refuse d'ordonner la démolition, déclare mandater un ingénieur tout en sollicitant l'aide de l'autorité cantonale) pouvant être assimilée à une carence au sens de cette disposition. Cette solution s'impose d'autant plus pour éviter des décisions contradictoires: s'il s'agit d'ordonner une remise en état (art. 105 LATC) hors de la zone à bâtir, la jurisprudence n'admet que restrictivement l'intervention de la municipalité, qui n'a aucune compétence propre pour autoriser des travaux, fussent-ils destinés à consolider le bâtiment.</w:t>
      </w:r>
    </w:p>
    <w:p>
      <w:pPr>
        <w:pStyle w:val="Heading2"/>
      </w:pPr>
      <w:r>
        <w:t>Erwägungen</w:t>
      </w:r>
    </w:p>
    <w:p>
      <w:r>
        <w:rPr>
          <w:b/>
        </w:rPr>
        <w:t>E. 1</w:t>
      </w:r>
    </w:p>
    <w:p>
      <w:r>
        <w:t>La municipalité ordonne la consolidation, le cas échéant la démolition, de tout ouvrage menaçant ruine ou présentant un danger pour le public ou les habitants.</w:t>
      </w:r>
    </w:p>
    <w:p>
      <w:r>
        <w:rPr>
          <w:b/>
        </w:rPr>
        <w:t>E. 2</w:t>
      </w:r>
    </w:p>
    <w:p>
      <w:r>
        <w:t>Les mesures prescrites par la municipalité sont communiquées par écrit au propriétaire et au locataire ou à l'occupant. La municipalité désigne la personne à qui elles incombent et fixe le délai d'exécution.</w:t>
      </w:r>
    </w:p>
    <w:p>
      <w:r>
        <w:rPr>
          <w:b/>
        </w:rPr>
        <w:t>E. 3</w:t>
      </w:r>
    </w:p>
    <w:p>
      <w:r>
        <w:t>En cas d'urgence ou si les travaux ordonnés ne sont pas exécutés dans le délai imparti, la municipalité les fait exécuter aux frais du propriétaire.</w:t>
      </w:r>
    </w:p>
    <w:p>
      <w:r>
        <w:rPr>
          <w:b/>
        </w:rPr>
        <w:t>E. 4</w:t>
      </w:r>
    </w:p>
    <w:p>
      <w:r>
        <w:t>LATC, ce qui implique qu'il appartient au département cantonal de prendre les mesures tendant à la consolidation ou la démolition prévues par les al. 1 à 3 de cette disposition. 2. Vu ce qui précède, les conclusions des recourants, qui tendent à la réforme de la décision de la municipalité en ce sens qu'ordre est donné aux propriétaires de démolir le bâtiment dans les 30 jours dès réception de l'arrêt, ne peuvent pas leur être allouées. Le recours est ainsi rejeté mais l'arrêt sera néanmoins rendu sans frais pour les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