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AC.2007.0233 vom 3. November 2009</w:t>
      </w:r>
    </w:p>
    <w:p>
      <w:r>
        <w:t>VD Tribunal cantonal, 2009-11-03, FR</w:t>
      </w:r>
    </w:p>
    <w:p>
      <w:r>
        <w:rPr>
          <w:b/>
        </w:rPr>
        <w:t xml:space="preserve">Quelle: </w:t>
      </w:r>
      <w:r>
        <w:t>https://mcp.opencaselaw.ch/entscheid/vd_omni_AC.2007.0233</w:t>
      </w:r>
    </w:p>
    <w:p>
      <w:r>
        <w:t>FR: VD_OMNI AC.2007.0233 du 3 novembre 2009</w:t>
      </w:r>
    </w:p>
    <w:p>
      <w:r>
        <w:t>IT: VD_OMNI AC.2007.0233 del 3 novembre 2009</w:t>
      </w:r>
    </w:p>
    <w:p>
      <w:pPr>
        <w:pStyle w:val="Heading2"/>
      </w:pPr>
      <w:r>
        <w:t>Regeste</w:t>
      </w:r>
    </w:p>
    <w:p>
      <w:r>
        <w:t>EGLOFF/Municipalité de Lausanne, Service des forêts, de la faune et de la nature | Quoique cette disposition ne vise expressément que la conformité aux règles d'aménagement du territoire et de police de constructions, l'art. 80 LATC peut être appliquée par analogie aux bâtiments non-conformes à l'art. 5 al. 1 LVLFo.</w:t>
      </w:r>
    </w:p>
    <w:p>
      <w:pPr>
        <w:pStyle w:val="Heading2"/>
      </w:pPr>
      <w:r>
        <w:t>Erwägungen</w:t>
      </w:r>
    </w:p>
    <w:p>
      <w:r>
        <w:rPr>
          <w:b/>
        </w:rPr>
        <w:t>E. 1</w:t>
      </w:r>
    </w:p>
    <w:p>
      <w:r>
        <w:t>La loi du 28 octobre 2008 sur la procédure administrative (LPA-VD; RSV 173.36), qui a remplacé la LJPA, est entrée en vigueur le 1 er janvier 2009. Elle s'applique aux causes pendantes devant les autorités administratives et de justice administrative lors de son entrée en vigueur (art. 117 al. 1). Toutefois les possibilités de recours et leur régime se déterminent en fonction des règles applicables à la date de la décision contestée ou à l'échéance du délai de recours qu'elle fait courir, à moins que le droit procédural en vigueur lorsque le juge statue soit plus favorable au recourant (Tribunal administratif, arrêt BO.2008.008 du 28 avril 2009; PS.2006.0006 du 1 er juin 2006; Cour constitutionnelle, CCST.2005.0006 du 11 janvier 2006; Pierre Moor, Droit administratif, vol. I, 2 ème éd., p. 171 et les arrêts cités; v. aussi ATF 127 II 32, consid. 2h, p. 40). Interjeté dans les vingt jours suivant la communication de la décision attaquée, le recours est intervenu en temps utile (art. 31 al. 1 LJPA). Il est au surplus recevable en la forme (art. 31 al. 2 LJPA).</w:t>
      </w:r>
    </w:p>
    <w:p>
      <w:r>
        <w:rPr>
          <w:b/>
        </w:rPr>
        <w:t>E. 2</w:t>
      </w:r>
    </w:p>
    <w:p>
      <w:r>
        <w:t>Le SFFN, Centre de conservation de la faune et de la nature, a considéré que les travaux litigieux devaient faire l'objet d'une autorisation de sa part en application de l'art. 22 de la loi du 28 février 1989 sur la faune (LFaune; RSV 922.03) et de l'art. 4a de la loi du 10 décembre 1969 sur la protection de la nature, des monuments et des sites (LPNMS; RSV 450.11). Selon la première de ces dispositions, toute construction ou installation portant atteinte à un biotope doit faire l'objet d'une autorisation spéciale du Département de la sécurité et l'environnement. Selon la seconde, toute atteinte à un milieu qui risque de porter préjudice à la faune locale doit faire l'objet d'une autorisation de la Conservation de la faune ou de " la commune au bénéfice d'une délégation ". Ces dispositions mettent en œuvre sur le plan cantonal la protection des biotopes au sens des art. 18 al. 1 bis et 18b de la loi fédérale du 1 er juillet 1966 sur la protection de la nature et du paysage (LPN; RS 451; cf. AC.2008.0205 du 10 février 2009; AC.1999.0027 du 30 septembre 2005). Le droit fédéral ne définit pas précisément la notion de biotope. Il ressort toutefois de la jurisprudence du Tribunal fédéral que les exigences de l'art. 18 LPN ne s'appliquent pas à tout milieu biotique offrant un peuplement animal et végétal bien déterminé des conditions d'habitat relativement stables; le concept de biotope auquel se réfère la législation fédérale se rapporte à "un espace vital suffisamment étendu" (v. ATF 121 II 161 consid. 2a/bb p.163; 116 Ib 203 consid. 4b). En l'occurrence ni le dossier ni l'inspection locale - au cours de laquelle le Centre de conservation de la faune et de la nature ne s'est pas fait représenté – ne permet de comprendre pour quel motif la mince bande de terrain escarpé et en partie embroussaillé où se trouve le bâtiment litigieux constituerait un biotope digne de protection. A lire la décision attaquée, on comprend que le Centre de conservation de la faune et de la nature l'a qualifié de tel uniquement parce qu'elle se trouve " dans la zone inconstructible en bordure de la forêt " et que " cet espace de transition constitue un milieu favorable à la faune et à la flore " . Or la distance minimum que l'art. 5 al. 2 LVLFo impose entre les constructions et la lisière des forêts ne fait pas systématiquement de cet espace inconstructible un biotope. En conséquence, les travaux mis à l'enquête ne nécessitaient aucune autorisation en application de l'art. 4a al. 2 LPNMS et 22 LFaune.</w:t>
      </w:r>
    </w:p>
    <w:p>
      <w:r>
        <w:rPr>
          <w:b/>
        </w:rPr>
        <w:t>E. 3</w:t>
      </w:r>
    </w:p>
    <w:p>
      <w:r>
        <w:t>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Quoique cette disposition ne vise expressément que la conformité aux règles d'aménagement du territoire et de police de constructions, elle peut être appliquée par analogie aux bâtiments non-conformes à l'art. 5 al. 1 LVLFo. Cette solution s'impose d'autant plus en l'espèce que, lors de la mise en vente de la parcelle n º 20'288, l'Etat de Vaud avait indiqué : "Tenant compte des restrictions du règlement y relatif, notamment des distances aux limites, l'intérêt de conserver les volumes existants [dont le bâtiment n º ECA 17'714] qui seront soumis à l'art. 80 de la loi sur l'aménagement du territoire et des constructions du 4 décembre 1985 (possibilité de rénovation et de transformation dans les limites des volumes existants)".</w:t>
      </w:r>
    </w:p>
    <w:p>
      <w:r>
        <w:rPr>
          <w:b/>
        </w:rPr>
        <w:t>E. 4</w:t>
      </w:r>
    </w:p>
    <w:p>
      <w:r>
        <w:t>Il convient dès lors d'examiner si les travaux mis à l'enquête aggravent l'atteinte à l'art. 5 al. 1 LVLFo ou les inconvénients qui en résultent pour le voisinage. a) Dans sa réponse du 1 er novembre 2007, le SFFN reconnaît implicitement que la création d'un appartement de deux pièces dans un ancien laboratoire existant, y compris la création d'une salle de bain et d'une terrasse, n'aggrave pas l'atteinte à la réglementation. Il admet en effet que ces transformations ne peuvent être réalisées ailleurs qu'à l'endroit prévu, que le bâtiment n º 17'714 étant situé en contrebas de la lisière forestière, il ne constitue pas – de même que sa transformation – une contrainte directe pour la conservation de la forêt, qu'il ne présente pas un sérieux danger pour l'environnement et que l'évacuation des bois est garantie par la parcelle n º 2989, si bien que les conditions d'une dérogation à l'interdiction de construire  à moins de 10 m de la lisière seraient réunies (v. art. 5 al. 2 LVLFo). b) Le motif pour lequel le SFFN refuse néanmoins d'autoriser les travaux tient aux contraintes supplémentaires que cela impliquerait pour la gestion et l'exploitation de la forêt voisine (surveillance des arbres dangereux, abattage et évacuation des bois très difficile). Autrement dit, le changement d'affectation aggraverait les inconvénients qui résultent de la présence du bâtiment n º ECA 17'714 pour la forêt voisine. Le SFFN fait également valoir que ce bâtiment " se situe dans une zone de dangers naturels comme l'atteste l'effondrement, au début de l'année 2007, d'un bloc de molasse sur la parcelle n º 3'003 (au-dessus de la chapelle voisine) et le lent glissement de terrain observable sur la parcelle (ex. déformation des marches d'escaliers). " aa) Sur le premier point on observe que, dans le cadre de gestion de la bande forestière qui recouvre la crête des falaises "Derrière César-Roux", il est procédé une fois par année à la vérification de la stabilité des arbres et que l'entretien s'opère par le haut, les arbres étant retenus au moyen de câbles lors des coupes. Dans la mesure où la surveillance et l'exploitation de la forêt en amont des parcelles voisines doit également tenir compte d'une présence humaine (notamment en ce qui concerne la parcelle de l'ancienne PMU, qui comporte des corps de bâtiment très proches de la falaise et dont la cour sert de parking), il n'apparaît pas que l'utilisation du bâtiment n º ECA 17'714 à titre d'habitation implique des mesures de sécurité sensiblement plus importantes que lorsque cette construction était utilisée comme laboratoire. Par ailleurs, le remplacement de la charpente en bois par une dalle de béton de 22 cm d'épaisseur procure assurément aux personnes se trouvant dans le bâtiment une sécurité accrue. bb) S'agissant du risque de chute des pierres auquel est exposée la parcelle de la recourante, il n'est pas lié à la présence de la forêt voisine, qui au contraire exerce une fonction protectrice à cet égard. Il ne constitue donc pas un motif pertinent de refus de déroger à l'interdiction de construire à moins de 10 m de la lisière. Par ailleurs, quoi qu'affirme le SFFN dans sa réponse, aucun élément du dossier n'indique que la parcelle litigieuse et les terrains avoisinants se trouvent dans une zone dangers naturels. Il ne figure pas non plus au guichet cartographique cantonal ( www.geoplanet.vd.ch ) sur une carte des dangers, hormis sur les " cartes indicatives de danger " qui couvrent de larges secteurs du territoire communal. La décision attaquée ne prétend d'ailleurs pas se fonder sur l'art. 120 let. b LATC. c) Il appartiendra à la municipalité d'examiner, conformément à l'art. 89 al. 1 LATC, si les travaux mis à l'enquête peuvent être autorisés sans autre ou doivent être subordonnés à l'exécution de travaux propres à écarter le risque limité d'éboulement ou de glissement de terrain mis en évidence par les rapports géologiques du bureau technique Norbert. d) C'est en conséquence à tort que le SFFN a refusé d'autoriser les travaux mis à l'enquête du 10 juillet au 13 août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